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CD9E" w14:textId="27796075" w:rsidR="00D57C72" w:rsidRPr="00D57C72" w:rsidRDefault="00D57C72" w:rsidP="00D57C72">
      <w:pPr>
        <w:pStyle w:val="Heading2"/>
        <w:rPr>
          <w:lang w:val="en-GB"/>
        </w:rPr>
      </w:pPr>
      <w:bookmarkStart w:id="0" w:name="_Toc115091665"/>
      <w:bookmarkStart w:id="1" w:name="_Toc111798629"/>
      <w:r w:rsidRPr="00D57C72">
        <w:rPr>
          <w:lang w:val="en-GB"/>
        </w:rPr>
        <w:t xml:space="preserve">Consultations on Future Priorities for Regional Health Programming in the Indo-Pacific </w:t>
      </w:r>
      <w:r w:rsidR="00CB4E85">
        <w:rPr>
          <w:lang w:val="en-GB"/>
        </w:rPr>
        <w:t>R</w:t>
      </w:r>
      <w:r w:rsidRPr="00D57C72">
        <w:rPr>
          <w:lang w:val="en-GB"/>
        </w:rPr>
        <w:t>egion</w:t>
      </w:r>
    </w:p>
    <w:p w14:paraId="74CBF2AB" w14:textId="4700A5C2" w:rsidR="00D57C72" w:rsidRDefault="00D57C72" w:rsidP="00D57C72">
      <w:r>
        <w:t>DFAT</w:t>
      </w:r>
      <w:r w:rsidRPr="00A82515">
        <w:t xml:space="preserve"> conducted </w:t>
      </w:r>
      <w:r w:rsidR="002F1743">
        <w:t xml:space="preserve">over 100 </w:t>
      </w:r>
      <w:r w:rsidRPr="00A82515">
        <w:t xml:space="preserve">consultations </w:t>
      </w:r>
      <w:r w:rsidR="002F1743">
        <w:t>from</w:t>
      </w:r>
      <w:r w:rsidRPr="00A82515">
        <w:t xml:space="preserve"> April to November 2022</w:t>
      </w:r>
      <w:r w:rsidR="008072F2">
        <w:t xml:space="preserve"> </w:t>
      </w:r>
      <w:r w:rsidR="00820E21">
        <w:t>in support of</w:t>
      </w:r>
      <w:r w:rsidR="008072F2">
        <w:t xml:space="preserve"> future health programming in </w:t>
      </w:r>
      <w:r w:rsidR="008072F2" w:rsidRPr="00A82515">
        <w:t xml:space="preserve">the Indo-Pacific region. </w:t>
      </w:r>
      <w:r w:rsidR="004C0C96">
        <w:t xml:space="preserve">This summary provides </w:t>
      </w:r>
      <w:r w:rsidR="004C0C96" w:rsidRPr="00A82515">
        <w:t>a broad overview of the themes discussed in meetings with partner governments, health experts and program stakeholders, including identifying challenges and priorities for future investment in health in the Indo-Pacific.</w:t>
      </w:r>
      <w:r>
        <w:t xml:space="preserve"> A summary of these consultations is </w:t>
      </w:r>
      <w:r w:rsidR="004C0C96">
        <w:t>provided</w:t>
      </w:r>
      <w:r>
        <w:t xml:space="preserve"> below.</w:t>
      </w:r>
    </w:p>
    <w:p w14:paraId="57C165D2" w14:textId="088759DC" w:rsidR="008F78A3" w:rsidRDefault="0024789A" w:rsidP="00D57C72">
      <w:pPr>
        <w:spacing w:after="60"/>
        <w:rPr>
          <w:rStyle w:val="Strong"/>
        </w:rPr>
      </w:pPr>
      <w:r>
        <w:rPr>
          <w:rStyle w:val="Strong"/>
        </w:rPr>
        <w:t>Table</w:t>
      </w:r>
      <w:r w:rsidR="00D57C72" w:rsidRPr="00D57C72">
        <w:rPr>
          <w:rStyle w:val="Strong"/>
        </w:rPr>
        <w:t xml:space="preserve"> </w:t>
      </w:r>
      <w:r>
        <w:rPr>
          <w:rStyle w:val="Strong"/>
        </w:rPr>
        <w:t>1</w:t>
      </w:r>
      <w:r w:rsidR="00D57C72" w:rsidRPr="00D57C72">
        <w:rPr>
          <w:rStyle w:val="Strong"/>
        </w:rPr>
        <w:t>: Summary of consultations</w:t>
      </w:r>
    </w:p>
    <w:tbl>
      <w:tblPr>
        <w:tblStyle w:val="TableGrid"/>
        <w:tblW w:w="0" w:type="auto"/>
        <w:tblLook w:val="04A0" w:firstRow="1" w:lastRow="0" w:firstColumn="1" w:lastColumn="0" w:noHBand="0" w:noVBand="1"/>
        <w:tblCaption w:val="Summary of consultations "/>
        <w:tblDescription w:val="Table provides a summary of the consultations including with partner governments, international and regional organisations, likemindeds, Australian organisations and partners and thematic consultations "/>
      </w:tblPr>
      <w:tblGrid>
        <w:gridCol w:w="2234"/>
        <w:gridCol w:w="2234"/>
        <w:gridCol w:w="2234"/>
        <w:gridCol w:w="2234"/>
      </w:tblGrid>
      <w:tr w:rsidR="00D14EF3" w:rsidRPr="0024789A" w14:paraId="550AACC8" w14:textId="77777777" w:rsidTr="004C0C96">
        <w:trPr>
          <w:trHeight w:val="933"/>
          <w:tblHeader/>
        </w:trPr>
        <w:tc>
          <w:tcPr>
            <w:tcW w:w="2234" w:type="dxa"/>
            <w:tcBorders>
              <w:top w:val="single" w:sz="12" w:space="0" w:color="48773C"/>
              <w:left w:val="single" w:sz="12" w:space="0" w:color="48773C"/>
              <w:bottom w:val="single" w:sz="12" w:space="0" w:color="48773C"/>
              <w:right w:val="single" w:sz="12" w:space="0" w:color="48773C"/>
            </w:tcBorders>
            <w:shd w:val="clear" w:color="auto" w:fill="0DB5A0"/>
            <w:vAlign w:val="center"/>
          </w:tcPr>
          <w:p w14:paraId="55F4E87E" w14:textId="5E45AAFF" w:rsidR="008F78A3" w:rsidRPr="0018689F" w:rsidRDefault="008F78A3" w:rsidP="0024789A">
            <w:pPr>
              <w:jc w:val="center"/>
              <w:rPr>
                <w:rStyle w:val="Strong"/>
                <w:color w:val="FFFFFF" w:themeColor="background1"/>
                <w:sz w:val="21"/>
                <w:szCs w:val="21"/>
              </w:rPr>
            </w:pPr>
            <w:r w:rsidRPr="0018689F">
              <w:rPr>
                <w:b/>
                <w:bCs/>
                <w:color w:val="FFFFFF" w:themeColor="background1"/>
                <w:sz w:val="21"/>
                <w:szCs w:val="21"/>
              </w:rPr>
              <w:t>Partner governments</w:t>
            </w:r>
          </w:p>
        </w:tc>
        <w:tc>
          <w:tcPr>
            <w:tcW w:w="2234" w:type="dxa"/>
            <w:tcBorders>
              <w:top w:val="single" w:sz="12" w:space="0" w:color="48773C"/>
              <w:left w:val="single" w:sz="12" w:space="0" w:color="48773C"/>
              <w:bottom w:val="single" w:sz="12" w:space="0" w:color="48773C"/>
              <w:right w:val="single" w:sz="12" w:space="0" w:color="48773C"/>
            </w:tcBorders>
            <w:shd w:val="clear" w:color="auto" w:fill="00837C"/>
            <w:vAlign w:val="center"/>
          </w:tcPr>
          <w:p w14:paraId="2F880C28" w14:textId="4BF87A5F" w:rsidR="008F78A3" w:rsidRPr="0018689F" w:rsidRDefault="008F78A3" w:rsidP="00A33B14">
            <w:pPr>
              <w:jc w:val="center"/>
              <w:rPr>
                <w:rStyle w:val="Strong"/>
                <w:color w:val="FFFFFF" w:themeColor="background1"/>
                <w:sz w:val="21"/>
                <w:szCs w:val="21"/>
              </w:rPr>
            </w:pPr>
            <w:r w:rsidRPr="0018689F">
              <w:rPr>
                <w:b/>
                <w:bCs/>
                <w:color w:val="FFFFFF" w:themeColor="background1"/>
                <w:sz w:val="21"/>
                <w:szCs w:val="21"/>
              </w:rPr>
              <w:t xml:space="preserve">International and regional organisations, and </w:t>
            </w:r>
            <w:proofErr w:type="spellStart"/>
            <w:r w:rsidRPr="0018689F">
              <w:rPr>
                <w:b/>
                <w:bCs/>
                <w:color w:val="FFFFFF" w:themeColor="background1"/>
                <w:sz w:val="21"/>
                <w:szCs w:val="21"/>
              </w:rPr>
              <w:t>likemindeds</w:t>
            </w:r>
            <w:proofErr w:type="spellEnd"/>
          </w:p>
        </w:tc>
        <w:tc>
          <w:tcPr>
            <w:tcW w:w="2234" w:type="dxa"/>
            <w:tcBorders>
              <w:top w:val="single" w:sz="12" w:space="0" w:color="48773C"/>
              <w:left w:val="single" w:sz="12" w:space="0" w:color="48773C"/>
              <w:bottom w:val="single" w:sz="12" w:space="0" w:color="48773C"/>
              <w:right w:val="single" w:sz="12" w:space="0" w:color="48773C"/>
            </w:tcBorders>
            <w:shd w:val="clear" w:color="auto" w:fill="0086B0"/>
            <w:vAlign w:val="center"/>
          </w:tcPr>
          <w:p w14:paraId="114720F8" w14:textId="3C89714A" w:rsidR="008F78A3" w:rsidRPr="0018689F" w:rsidRDefault="008F78A3" w:rsidP="0024789A">
            <w:pPr>
              <w:jc w:val="center"/>
              <w:rPr>
                <w:rStyle w:val="Strong"/>
                <w:color w:val="FFFFFF" w:themeColor="background1"/>
                <w:sz w:val="21"/>
                <w:szCs w:val="21"/>
              </w:rPr>
            </w:pPr>
            <w:r w:rsidRPr="0018689F">
              <w:rPr>
                <w:b/>
                <w:bCs/>
                <w:color w:val="FFFFFF" w:themeColor="background1"/>
                <w:sz w:val="21"/>
                <w:szCs w:val="21"/>
              </w:rPr>
              <w:t>Australian organisations and partners</w:t>
            </w:r>
          </w:p>
        </w:tc>
        <w:tc>
          <w:tcPr>
            <w:tcW w:w="2234" w:type="dxa"/>
            <w:tcBorders>
              <w:top w:val="single" w:sz="12" w:space="0" w:color="48773C"/>
              <w:left w:val="single" w:sz="12" w:space="0" w:color="48773C"/>
              <w:bottom w:val="single" w:sz="12" w:space="0" w:color="48773C"/>
              <w:right w:val="single" w:sz="12" w:space="0" w:color="48773C"/>
            </w:tcBorders>
            <w:shd w:val="clear" w:color="auto" w:fill="3A586E"/>
            <w:vAlign w:val="center"/>
          </w:tcPr>
          <w:p w14:paraId="70C873AD" w14:textId="18A52876" w:rsidR="008F78A3" w:rsidRPr="0018689F" w:rsidRDefault="008F78A3" w:rsidP="0024789A">
            <w:pPr>
              <w:pStyle w:val="ListBulletLevel1"/>
              <w:numPr>
                <w:ilvl w:val="0"/>
                <w:numId w:val="0"/>
              </w:numPr>
              <w:jc w:val="center"/>
              <w:rPr>
                <w:b/>
                <w:bCs/>
                <w:color w:val="FFFFFF" w:themeColor="background1"/>
                <w:sz w:val="21"/>
                <w:szCs w:val="21"/>
              </w:rPr>
            </w:pPr>
            <w:r w:rsidRPr="0018689F">
              <w:rPr>
                <w:b/>
                <w:bCs/>
                <w:color w:val="FFFFFF" w:themeColor="background1"/>
                <w:sz w:val="21"/>
                <w:szCs w:val="21"/>
              </w:rPr>
              <w:t>Thematic consultations</w:t>
            </w:r>
          </w:p>
        </w:tc>
      </w:tr>
      <w:tr w:rsidR="00A33B14" w:rsidRPr="008F78A3" w14:paraId="40D685DA" w14:textId="77777777" w:rsidTr="00C33A3A">
        <w:trPr>
          <w:trHeight w:val="6570"/>
        </w:trPr>
        <w:tc>
          <w:tcPr>
            <w:tcW w:w="2234" w:type="dxa"/>
            <w:tcBorders>
              <w:top w:val="single" w:sz="12" w:space="0" w:color="48773C"/>
              <w:left w:val="single" w:sz="12" w:space="0" w:color="48773C"/>
              <w:bottom w:val="single" w:sz="12" w:space="0" w:color="48773C"/>
              <w:right w:val="single" w:sz="12" w:space="0" w:color="48773C"/>
            </w:tcBorders>
          </w:tcPr>
          <w:p w14:paraId="44508A30" w14:textId="6C11F6F6" w:rsidR="008F78A3" w:rsidRPr="000D723F" w:rsidRDefault="008F78A3" w:rsidP="00A33B14">
            <w:pPr>
              <w:pStyle w:val="ListBulletLevel1"/>
              <w:numPr>
                <w:ilvl w:val="0"/>
                <w:numId w:val="0"/>
              </w:numPr>
              <w:rPr>
                <w:sz w:val="19"/>
                <w:szCs w:val="19"/>
              </w:rPr>
            </w:pPr>
            <w:r w:rsidRPr="000D723F">
              <w:rPr>
                <w:sz w:val="19"/>
                <w:szCs w:val="19"/>
              </w:rPr>
              <w:t xml:space="preserve">Partner governments in the Pacific and </w:t>
            </w:r>
            <w:r w:rsidR="00263436" w:rsidRPr="000D723F">
              <w:rPr>
                <w:sz w:val="19"/>
                <w:szCs w:val="19"/>
              </w:rPr>
              <w:t>Southeast Asia (SEA)</w:t>
            </w:r>
            <w:r w:rsidRPr="000D723F">
              <w:rPr>
                <w:sz w:val="19"/>
                <w:szCs w:val="19"/>
              </w:rPr>
              <w:t xml:space="preserve"> including ministries of health, agriculture, and foreign affairs officials.</w:t>
            </w:r>
          </w:p>
          <w:p w14:paraId="60D23345" w14:textId="77777777" w:rsidR="008F78A3" w:rsidRPr="000D723F" w:rsidRDefault="008F78A3" w:rsidP="00A33B14">
            <w:pPr>
              <w:pStyle w:val="ListBulletLevel1"/>
              <w:numPr>
                <w:ilvl w:val="0"/>
                <w:numId w:val="0"/>
              </w:numPr>
              <w:rPr>
                <w:sz w:val="19"/>
                <w:szCs w:val="19"/>
              </w:rPr>
            </w:pPr>
            <w:r w:rsidRPr="000D723F">
              <w:rPr>
                <w:sz w:val="19"/>
                <w:szCs w:val="19"/>
              </w:rPr>
              <w:t>Countries consulted to date: Papua New Guinea, Fiji, Kiribati, Timor-Lese, Nauru, Tonga, Tuvalu, Vanuatu, Indonesia, Vietnam, Philippines.</w:t>
            </w:r>
          </w:p>
          <w:p w14:paraId="15935518" w14:textId="74F90595" w:rsidR="00C33A3A" w:rsidRPr="000D723F" w:rsidRDefault="008F78A3" w:rsidP="00C33A3A">
            <w:pPr>
              <w:pStyle w:val="ListBulletLevel1"/>
              <w:numPr>
                <w:ilvl w:val="0"/>
                <w:numId w:val="0"/>
              </w:numPr>
              <w:rPr>
                <w:sz w:val="19"/>
                <w:szCs w:val="19"/>
              </w:rPr>
            </w:pPr>
            <w:r w:rsidRPr="000D723F">
              <w:rPr>
                <w:sz w:val="19"/>
                <w:szCs w:val="19"/>
              </w:rPr>
              <w:t xml:space="preserve">Further consultation </w:t>
            </w:r>
            <w:r w:rsidR="00930E04" w:rsidRPr="000D723F">
              <w:rPr>
                <w:sz w:val="19"/>
                <w:szCs w:val="19"/>
              </w:rPr>
              <w:t>to inform</w:t>
            </w:r>
            <w:r w:rsidRPr="000D723F">
              <w:rPr>
                <w:sz w:val="19"/>
                <w:szCs w:val="19"/>
              </w:rPr>
              <w:t xml:space="preserve"> programming decisions is planned</w:t>
            </w:r>
            <w:r w:rsidR="003108DA" w:rsidRPr="000D723F">
              <w:rPr>
                <w:sz w:val="19"/>
                <w:szCs w:val="19"/>
              </w:rPr>
              <w:t xml:space="preserve">. </w:t>
            </w:r>
          </w:p>
        </w:tc>
        <w:tc>
          <w:tcPr>
            <w:tcW w:w="2234" w:type="dxa"/>
            <w:tcBorders>
              <w:top w:val="single" w:sz="12" w:space="0" w:color="48773C"/>
              <w:left w:val="single" w:sz="12" w:space="0" w:color="48773C"/>
              <w:bottom w:val="single" w:sz="12" w:space="0" w:color="48773C"/>
              <w:right w:val="single" w:sz="12" w:space="0" w:color="48773C"/>
            </w:tcBorders>
          </w:tcPr>
          <w:p w14:paraId="6E6CC43F" w14:textId="622F532E" w:rsidR="008F78A3" w:rsidRPr="000D723F" w:rsidRDefault="008F78A3" w:rsidP="00A33B14">
            <w:pPr>
              <w:pStyle w:val="ListBulletLevel1"/>
              <w:numPr>
                <w:ilvl w:val="0"/>
                <w:numId w:val="0"/>
              </w:numPr>
              <w:rPr>
                <w:sz w:val="19"/>
                <w:szCs w:val="19"/>
              </w:rPr>
            </w:pPr>
            <w:r w:rsidRPr="000D723F">
              <w:rPr>
                <w:sz w:val="19"/>
                <w:szCs w:val="19"/>
              </w:rPr>
              <w:t xml:space="preserve">Meetings held with headquarters and regional offices of key organisations including WHO and </w:t>
            </w:r>
            <w:r w:rsidR="006F3118" w:rsidRPr="000D723F">
              <w:rPr>
                <w:sz w:val="19"/>
                <w:szCs w:val="19"/>
              </w:rPr>
              <w:t>The Pacific Community (SPC)</w:t>
            </w:r>
            <w:r w:rsidRPr="000D723F">
              <w:rPr>
                <w:sz w:val="19"/>
                <w:szCs w:val="19"/>
              </w:rPr>
              <w:t>.</w:t>
            </w:r>
          </w:p>
          <w:p w14:paraId="5DB1A0F7" w14:textId="1CFFF8D4" w:rsidR="008F78A3" w:rsidRPr="000D723F" w:rsidRDefault="008F78A3" w:rsidP="00A33B14">
            <w:pPr>
              <w:pStyle w:val="ListBulletLevel1"/>
              <w:numPr>
                <w:ilvl w:val="0"/>
                <w:numId w:val="0"/>
              </w:numPr>
              <w:rPr>
                <w:sz w:val="19"/>
                <w:szCs w:val="19"/>
              </w:rPr>
            </w:pPr>
            <w:r w:rsidRPr="000D723F">
              <w:rPr>
                <w:sz w:val="19"/>
                <w:szCs w:val="19"/>
              </w:rPr>
              <w:t xml:space="preserve">Bilateral meetings with US, UK, Japan, New </w:t>
            </w:r>
            <w:proofErr w:type="gramStart"/>
            <w:r w:rsidRPr="000D723F">
              <w:rPr>
                <w:sz w:val="19"/>
                <w:szCs w:val="19"/>
              </w:rPr>
              <w:t>Zealand</w:t>
            </w:r>
            <w:proofErr w:type="gramEnd"/>
            <w:r w:rsidRPr="000D723F">
              <w:rPr>
                <w:sz w:val="19"/>
                <w:szCs w:val="19"/>
              </w:rPr>
              <w:t xml:space="preserve"> and Republic of Korea to explore opportunities for co-ordinated efforts. </w:t>
            </w:r>
          </w:p>
          <w:p w14:paraId="5034246D" w14:textId="77777777" w:rsidR="008F78A3" w:rsidRPr="000D723F" w:rsidRDefault="008F78A3" w:rsidP="008F78A3">
            <w:pPr>
              <w:pStyle w:val="ListBulletLevel1"/>
              <w:rPr>
                <w:rStyle w:val="Strong"/>
                <w:b w:val="0"/>
                <w:bCs w:val="0"/>
                <w:sz w:val="19"/>
                <w:szCs w:val="19"/>
              </w:rPr>
            </w:pPr>
          </w:p>
        </w:tc>
        <w:tc>
          <w:tcPr>
            <w:tcW w:w="2234" w:type="dxa"/>
            <w:tcBorders>
              <w:top w:val="single" w:sz="12" w:space="0" w:color="48773C"/>
              <w:left w:val="single" w:sz="12" w:space="0" w:color="48773C"/>
              <w:bottom w:val="single" w:sz="12" w:space="0" w:color="48773C"/>
              <w:right w:val="single" w:sz="12" w:space="0" w:color="48773C"/>
            </w:tcBorders>
          </w:tcPr>
          <w:p w14:paraId="5605F0B7" w14:textId="4C9708EA" w:rsidR="008F78A3" w:rsidRPr="000D723F" w:rsidRDefault="008F78A3" w:rsidP="00A33B14">
            <w:pPr>
              <w:pStyle w:val="ListBulletLevel1"/>
              <w:numPr>
                <w:ilvl w:val="0"/>
                <w:numId w:val="0"/>
              </w:numPr>
              <w:rPr>
                <w:sz w:val="19"/>
                <w:szCs w:val="19"/>
              </w:rPr>
            </w:pPr>
            <w:r w:rsidRPr="000D723F">
              <w:rPr>
                <w:sz w:val="19"/>
                <w:szCs w:val="19"/>
              </w:rPr>
              <w:t xml:space="preserve">Roundtable and side meetings in capital cities around Australia engaged over fifty different organisations including </w:t>
            </w:r>
            <w:r w:rsidR="00101E77" w:rsidRPr="000D723F">
              <w:rPr>
                <w:sz w:val="19"/>
                <w:szCs w:val="19"/>
              </w:rPr>
              <w:t xml:space="preserve">existing implementing </w:t>
            </w:r>
            <w:r w:rsidRPr="000D723F">
              <w:rPr>
                <w:sz w:val="19"/>
                <w:szCs w:val="19"/>
              </w:rPr>
              <w:t>partners in addition to prospective new partners.</w:t>
            </w:r>
          </w:p>
          <w:p w14:paraId="3CF0701A" w14:textId="593DE6DA" w:rsidR="008F78A3" w:rsidRPr="000D723F" w:rsidRDefault="008F78A3" w:rsidP="00A33B14">
            <w:pPr>
              <w:pStyle w:val="ListBulletLevel1"/>
              <w:numPr>
                <w:ilvl w:val="0"/>
                <w:numId w:val="0"/>
              </w:numPr>
              <w:rPr>
                <w:sz w:val="19"/>
                <w:szCs w:val="19"/>
              </w:rPr>
            </w:pPr>
            <w:r w:rsidRPr="000D723F">
              <w:rPr>
                <w:sz w:val="19"/>
                <w:szCs w:val="19"/>
              </w:rPr>
              <w:t xml:space="preserve">Briefings were held with </w:t>
            </w:r>
            <w:r w:rsidR="00ED6CA4" w:rsidRPr="000D723F">
              <w:rPr>
                <w:sz w:val="19"/>
                <w:szCs w:val="19"/>
              </w:rPr>
              <w:t xml:space="preserve">Australian Council for International Development (ACFID) </w:t>
            </w:r>
            <w:r w:rsidRPr="000D723F">
              <w:rPr>
                <w:sz w:val="19"/>
                <w:szCs w:val="19"/>
              </w:rPr>
              <w:t xml:space="preserve">and </w:t>
            </w:r>
            <w:r w:rsidR="00CA58A2" w:rsidRPr="000D723F">
              <w:rPr>
                <w:sz w:val="19"/>
                <w:szCs w:val="19"/>
              </w:rPr>
              <w:t xml:space="preserve">the </w:t>
            </w:r>
            <w:r w:rsidRPr="000D723F">
              <w:rPr>
                <w:sz w:val="19"/>
                <w:szCs w:val="19"/>
              </w:rPr>
              <w:t>Australian Global Health Alliance</w:t>
            </w:r>
            <w:r w:rsidR="00D4679C" w:rsidRPr="000D723F">
              <w:rPr>
                <w:sz w:val="19"/>
                <w:szCs w:val="19"/>
              </w:rPr>
              <w:t xml:space="preserve"> membership</w:t>
            </w:r>
            <w:r w:rsidRPr="000D723F">
              <w:rPr>
                <w:sz w:val="19"/>
                <w:szCs w:val="19"/>
              </w:rPr>
              <w:t xml:space="preserve"> with details of all public consultations </w:t>
            </w:r>
            <w:r w:rsidR="0024789A" w:rsidRPr="000D723F">
              <w:rPr>
                <w:sz w:val="19"/>
                <w:szCs w:val="19"/>
              </w:rPr>
              <w:t>disseminated</w:t>
            </w:r>
            <w:r w:rsidRPr="000D723F">
              <w:rPr>
                <w:sz w:val="19"/>
                <w:szCs w:val="19"/>
              </w:rPr>
              <w:t xml:space="preserve"> through their networks</w:t>
            </w:r>
            <w:r w:rsidR="00101E77" w:rsidRPr="000D723F">
              <w:rPr>
                <w:sz w:val="19"/>
                <w:szCs w:val="19"/>
              </w:rPr>
              <w:t>.</w:t>
            </w:r>
          </w:p>
          <w:p w14:paraId="7B6657F7" w14:textId="36CE1DFA" w:rsidR="008F78A3" w:rsidRPr="000D723F" w:rsidRDefault="00CA58A2" w:rsidP="004C0C96">
            <w:pPr>
              <w:pStyle w:val="ListBulletLevel1"/>
              <w:numPr>
                <w:ilvl w:val="0"/>
                <w:numId w:val="0"/>
              </w:numPr>
              <w:rPr>
                <w:rStyle w:val="Strong"/>
                <w:b w:val="0"/>
                <w:bCs w:val="0"/>
                <w:sz w:val="19"/>
                <w:szCs w:val="19"/>
              </w:rPr>
            </w:pPr>
            <w:r w:rsidRPr="000D723F">
              <w:rPr>
                <w:sz w:val="19"/>
                <w:szCs w:val="19"/>
              </w:rPr>
              <w:t xml:space="preserve">Consultations </w:t>
            </w:r>
            <w:r w:rsidR="008F78A3" w:rsidRPr="000D723F">
              <w:rPr>
                <w:sz w:val="19"/>
                <w:szCs w:val="19"/>
              </w:rPr>
              <w:t>with whole of government agencies included: Department of Health and Aged Care; CSIRO; Department of Defence; Australian Centre for International Agricultural Research; National Health and Medical Research Council; Department of Agriculture, Fisheries and Forestry; Australian Institute of Health and Welfare</w:t>
            </w:r>
            <w:r w:rsidR="00C33A3A" w:rsidRPr="000D723F">
              <w:rPr>
                <w:sz w:val="19"/>
                <w:szCs w:val="19"/>
              </w:rPr>
              <w:t>.</w:t>
            </w:r>
          </w:p>
        </w:tc>
        <w:tc>
          <w:tcPr>
            <w:tcW w:w="2234" w:type="dxa"/>
            <w:tcBorders>
              <w:top w:val="single" w:sz="12" w:space="0" w:color="48773C"/>
              <w:left w:val="single" w:sz="12" w:space="0" w:color="48773C"/>
              <w:bottom w:val="single" w:sz="12" w:space="0" w:color="48773C"/>
              <w:right w:val="single" w:sz="12" w:space="0" w:color="48773C"/>
            </w:tcBorders>
          </w:tcPr>
          <w:p w14:paraId="5783A7D7" w14:textId="4D954BEB" w:rsidR="003B6D22" w:rsidRDefault="003B6D22" w:rsidP="003B6D22">
            <w:pPr>
              <w:pStyle w:val="ListBulletLevel1"/>
              <w:numPr>
                <w:ilvl w:val="0"/>
                <w:numId w:val="0"/>
              </w:numPr>
              <w:rPr>
                <w:sz w:val="19"/>
                <w:szCs w:val="19"/>
              </w:rPr>
            </w:pPr>
            <w:r>
              <w:rPr>
                <w:sz w:val="19"/>
                <w:szCs w:val="19"/>
              </w:rPr>
              <w:t>Ten</w:t>
            </w:r>
            <w:r w:rsidRPr="000D723F">
              <w:rPr>
                <w:sz w:val="19"/>
                <w:szCs w:val="19"/>
              </w:rPr>
              <w:t xml:space="preserve"> </w:t>
            </w:r>
            <w:r w:rsidR="00A33B14" w:rsidRPr="000D723F">
              <w:rPr>
                <w:sz w:val="19"/>
                <w:szCs w:val="19"/>
              </w:rPr>
              <w:t>thematic consultations with Australian and regional bodies. Themes included: infection prevention and control and antimicrobial resistance; laboratory strengthening; data for decision making and surveillance; field epidemiology; vector</w:t>
            </w:r>
            <w:r w:rsidR="00101E77" w:rsidRPr="000D723F">
              <w:rPr>
                <w:sz w:val="19"/>
                <w:szCs w:val="19"/>
              </w:rPr>
              <w:t>-</w:t>
            </w:r>
            <w:r w:rsidR="00A33B14" w:rsidRPr="000D723F">
              <w:rPr>
                <w:sz w:val="19"/>
                <w:szCs w:val="19"/>
              </w:rPr>
              <w:t xml:space="preserve"> borne disease control; outbreak </w:t>
            </w:r>
            <w:r w:rsidR="00A229E5" w:rsidRPr="000D723F">
              <w:rPr>
                <w:sz w:val="19"/>
                <w:szCs w:val="19"/>
              </w:rPr>
              <w:t>preparedness</w:t>
            </w:r>
            <w:r w:rsidR="00A33B14" w:rsidRPr="000D723F">
              <w:rPr>
                <w:sz w:val="19"/>
                <w:szCs w:val="19"/>
              </w:rPr>
              <w:t xml:space="preserve"> and response; community engagement; health product development; HIV &amp; </w:t>
            </w:r>
            <w:r w:rsidR="00101E77" w:rsidRPr="000D723F">
              <w:rPr>
                <w:sz w:val="19"/>
                <w:szCs w:val="19"/>
              </w:rPr>
              <w:t xml:space="preserve">sexually transmitted </w:t>
            </w:r>
            <w:r w:rsidR="00C2066E" w:rsidRPr="000D723F">
              <w:rPr>
                <w:sz w:val="19"/>
                <w:szCs w:val="19"/>
              </w:rPr>
              <w:t>infections</w:t>
            </w:r>
            <w:r w:rsidR="00101E77" w:rsidRPr="000D723F">
              <w:rPr>
                <w:sz w:val="19"/>
                <w:szCs w:val="19"/>
              </w:rPr>
              <w:t xml:space="preserve"> (ST</w:t>
            </w:r>
            <w:r w:rsidR="00C2066E" w:rsidRPr="000D723F">
              <w:rPr>
                <w:sz w:val="19"/>
                <w:szCs w:val="19"/>
              </w:rPr>
              <w:t>I</w:t>
            </w:r>
            <w:r w:rsidR="00101E77" w:rsidRPr="000D723F">
              <w:rPr>
                <w:sz w:val="19"/>
                <w:szCs w:val="19"/>
              </w:rPr>
              <w:t>s)</w:t>
            </w:r>
            <w:r w:rsidR="00A33B14" w:rsidRPr="000D723F">
              <w:rPr>
                <w:sz w:val="19"/>
                <w:szCs w:val="19"/>
              </w:rPr>
              <w:t xml:space="preserve">; </w:t>
            </w:r>
            <w:r>
              <w:rPr>
                <w:sz w:val="19"/>
                <w:szCs w:val="19"/>
              </w:rPr>
              <w:t xml:space="preserve">and </w:t>
            </w:r>
            <w:r w:rsidR="00A33B14" w:rsidRPr="000D723F">
              <w:rPr>
                <w:sz w:val="19"/>
                <w:szCs w:val="19"/>
              </w:rPr>
              <w:t xml:space="preserve">One Health; and </w:t>
            </w:r>
          </w:p>
          <w:p w14:paraId="20498DED" w14:textId="70CAD944" w:rsidR="003B6D22" w:rsidRPr="000D723F" w:rsidRDefault="003B6D22" w:rsidP="003B6D22">
            <w:pPr>
              <w:pStyle w:val="ListBulletLevel1"/>
              <w:numPr>
                <w:ilvl w:val="0"/>
                <w:numId w:val="0"/>
              </w:numPr>
              <w:rPr>
                <w:sz w:val="19"/>
                <w:szCs w:val="19"/>
              </w:rPr>
            </w:pPr>
            <w:r>
              <w:rPr>
                <w:sz w:val="19"/>
                <w:szCs w:val="19"/>
              </w:rPr>
              <w:t xml:space="preserve">Targeted consultations on gender equality, </w:t>
            </w:r>
            <w:proofErr w:type="gramStart"/>
            <w:r>
              <w:rPr>
                <w:sz w:val="19"/>
                <w:szCs w:val="19"/>
              </w:rPr>
              <w:t>disability</w:t>
            </w:r>
            <w:proofErr w:type="gramEnd"/>
            <w:r>
              <w:rPr>
                <w:sz w:val="19"/>
                <w:szCs w:val="19"/>
              </w:rPr>
              <w:t xml:space="preserve"> and social inclusion, including a roundtable with gender equality and disability inclusion focused organisations; and consultations with First Nations organisations and programs, and regional organisations of people with disabilities (Pacific Disability Forum; and ASEAN Disability Forum).  </w:t>
            </w:r>
          </w:p>
        </w:tc>
      </w:tr>
    </w:tbl>
    <w:p w14:paraId="075907BA" w14:textId="5FD34370" w:rsidR="00D57C72" w:rsidRPr="001236A0" w:rsidRDefault="00D57C72" w:rsidP="00D57C72">
      <w:r w:rsidRPr="00A82515">
        <w:lastRenderedPageBreak/>
        <w:t>These discussions explored the health challenges facing the region – both throughout the COVID-19 pandemic and now as countries move into the recovery phase – what capacities exist to combat health challenges and what opportunities there are to further build capability in the region</w:t>
      </w:r>
      <w:r w:rsidR="00E20785">
        <w:t>. DFAT will continue consultation</w:t>
      </w:r>
      <w:r w:rsidR="00856A26">
        <w:t>s</w:t>
      </w:r>
      <w:r w:rsidR="00E20785">
        <w:t>, particularly with partner governments, to inform final programming decisions.</w:t>
      </w:r>
    </w:p>
    <w:p w14:paraId="395E8520" w14:textId="77777777" w:rsidR="00D57C72" w:rsidRPr="00F738F7" w:rsidRDefault="00D57C72" w:rsidP="00D57C72">
      <w:pPr>
        <w:pStyle w:val="Heading3"/>
        <w:rPr>
          <w:i/>
          <w:iCs/>
          <w:lang w:val="en-GB"/>
        </w:rPr>
      </w:pPr>
      <w:r w:rsidRPr="00F738F7">
        <w:rPr>
          <w:lang w:val="en-GB"/>
        </w:rPr>
        <w:t>Infectious Diseases, Non-Communicable Diseases and Sexual, Reproductive and Health Rights</w:t>
      </w:r>
    </w:p>
    <w:p w14:paraId="7A25DC3C" w14:textId="46CEFF5F" w:rsidR="00D57C72" w:rsidRPr="00A82515" w:rsidRDefault="00D57C72" w:rsidP="00D57C72">
      <w:r w:rsidRPr="00A82515">
        <w:t>Consultations highlighted the importance of an overall systems approach to strengthening health across the Pacific and Southeast Asia. Partners considered that the success of programming and COVID-19 response to be in part due to the ability to bring together various functions of the system (</w:t>
      </w:r>
      <w:proofErr w:type="gramStart"/>
      <w:r w:rsidRPr="00A82515">
        <w:t>e.g.</w:t>
      </w:r>
      <w:proofErr w:type="gramEnd"/>
      <w:r w:rsidRPr="00A82515">
        <w:t xml:space="preserve"> clinical surveillance, laboratories and </w:t>
      </w:r>
      <w:r>
        <w:t>health information management</w:t>
      </w:r>
      <w:r w:rsidRPr="00A82515">
        <w:t xml:space="preserve">) in a coordinated manner. </w:t>
      </w:r>
      <w:r w:rsidRPr="00C531BF">
        <w:t>Stakeholders emphasi</w:t>
      </w:r>
      <w:r>
        <w:t>s</w:t>
      </w:r>
      <w:r w:rsidRPr="00C531BF">
        <w:t xml:space="preserve">ed that DFAT should continue to take a health systems approach </w:t>
      </w:r>
      <w:r>
        <w:t xml:space="preserve">noting the importance of </w:t>
      </w:r>
      <w:r w:rsidRPr="00A82515">
        <w:t xml:space="preserve">systems to be </w:t>
      </w:r>
      <w:r>
        <w:t xml:space="preserve">resilient, </w:t>
      </w:r>
      <w:proofErr w:type="gramStart"/>
      <w:r w:rsidRPr="00A82515">
        <w:t>flexible</w:t>
      </w:r>
      <w:proofErr w:type="gramEnd"/>
      <w:r w:rsidRPr="00A82515">
        <w:t xml:space="preserve"> </w:t>
      </w:r>
      <w:r w:rsidR="009D0B51">
        <w:t xml:space="preserve">and </w:t>
      </w:r>
      <w:r w:rsidRPr="00A82515">
        <w:t xml:space="preserve">responsive in the face of various emerging </w:t>
      </w:r>
      <w:r>
        <w:t xml:space="preserve">health </w:t>
      </w:r>
      <w:r w:rsidRPr="00A82515">
        <w:t>threats</w:t>
      </w:r>
      <w:r>
        <w:t xml:space="preserve">. </w:t>
      </w:r>
    </w:p>
    <w:p w14:paraId="197EF22B" w14:textId="77777777" w:rsidR="00D57C72" w:rsidRPr="00A82515" w:rsidRDefault="00D57C72" w:rsidP="00D57C72">
      <w:r w:rsidRPr="00A82515">
        <w:t>Consultations were focused on understanding the capabilities, gaps and needs around communicable diseases. Partner governments and stakeholders acknowledged and appreciated Australia’s efforts to pivot regional health security support to combat COVID-19 at the height of the pandemic and agreed that addressing infectious disease threats should remain a focus of Australia’s future support to the region.</w:t>
      </w:r>
    </w:p>
    <w:p w14:paraId="361D2594" w14:textId="02792CBF" w:rsidR="00D57C72" w:rsidRPr="00A82515" w:rsidRDefault="00D57C72" w:rsidP="00D57C72">
      <w:r w:rsidRPr="00A82515">
        <w:t xml:space="preserve">But the pandemic also underscored the significant, ongoing challenges posed by </w:t>
      </w:r>
      <w:bookmarkStart w:id="2" w:name="_Hlk123559336"/>
      <w:r w:rsidR="009E001B">
        <w:t>non-communicable diseases (NCDs)</w:t>
      </w:r>
      <w:r w:rsidR="009E001B" w:rsidRPr="00A82515">
        <w:t xml:space="preserve"> </w:t>
      </w:r>
      <w:r w:rsidRPr="00A82515">
        <w:t>in the region</w:t>
      </w:r>
      <w:bookmarkEnd w:id="2"/>
      <w:r w:rsidRPr="00A82515">
        <w:t xml:space="preserve">. Though discussion of NCDs was not the </w:t>
      </w:r>
      <w:r>
        <w:t xml:space="preserve">key </w:t>
      </w:r>
      <w:r w:rsidRPr="00A82515">
        <w:t xml:space="preserve">focus of consultations, several </w:t>
      </w:r>
      <w:r>
        <w:t xml:space="preserve">stakeholders </w:t>
      </w:r>
      <w:r w:rsidRPr="00A82515">
        <w:t xml:space="preserve">raised the ongoing impact of NCDs </w:t>
      </w:r>
      <w:r>
        <w:t>including the increased vulnerability if and as COVID-19 waves take hold in countries and health services are stretched</w:t>
      </w:r>
      <w:r w:rsidRPr="00A82515">
        <w:t>.</w:t>
      </w:r>
      <w:r w:rsidRPr="00A82515" w:rsidDel="00A96FFB">
        <w:t xml:space="preserve"> </w:t>
      </w:r>
      <w:r>
        <w:t>O</w:t>
      </w:r>
      <w:r w:rsidRPr="00A82515">
        <w:t xml:space="preserve">ngoing discussions with partners and other stakeholders </w:t>
      </w:r>
      <w:r>
        <w:t xml:space="preserve">also </w:t>
      </w:r>
      <w:r w:rsidRPr="00A82515">
        <w:t xml:space="preserve">continue to identify </w:t>
      </w:r>
      <w:r w:rsidR="009E001B">
        <w:t>sexual and reproductive health and rights (SRHR)</w:t>
      </w:r>
      <w:r w:rsidR="009E001B" w:rsidRPr="00A82515">
        <w:t xml:space="preserve"> </w:t>
      </w:r>
      <w:r w:rsidR="003932CA">
        <w:t xml:space="preserve">and service provision is </w:t>
      </w:r>
      <w:r w:rsidR="000F1072">
        <w:t xml:space="preserve">not improving in some countries in </w:t>
      </w:r>
      <w:r w:rsidRPr="00A82515">
        <w:t>the Indo-Pacific</w:t>
      </w:r>
      <w:r w:rsidR="003932CA">
        <w:t xml:space="preserve"> region</w:t>
      </w:r>
      <w:r w:rsidR="000F1072">
        <w:t>.</w:t>
      </w:r>
      <w:r w:rsidRPr="00A82515">
        <w:t xml:space="preserve"> </w:t>
      </w:r>
    </w:p>
    <w:p w14:paraId="17375CF5" w14:textId="7DB644F8" w:rsidR="00D57C72" w:rsidRPr="00D57C72" w:rsidRDefault="00D57C72" w:rsidP="00D57C72">
      <w:pPr>
        <w:pStyle w:val="Heading3"/>
      </w:pPr>
      <w:r w:rsidRPr="00D57C72">
        <w:t>Routine Immunisation and Immunisation Policy, Financing and Management</w:t>
      </w:r>
    </w:p>
    <w:p w14:paraId="41F5F3B4" w14:textId="6DC61EE7" w:rsidR="00D57C72" w:rsidRPr="00A82515" w:rsidRDefault="00D57C72" w:rsidP="00D57C72">
      <w:r w:rsidRPr="00A82515">
        <w:t xml:space="preserve">Immunisation policy and planning was noted </w:t>
      </w:r>
      <w:r>
        <w:t xml:space="preserve">by stakeholders </w:t>
      </w:r>
      <w:r w:rsidRPr="00A82515">
        <w:t xml:space="preserve">as a key need (in the Pacific region in particular), noting the drop in vaccine coverage of vaccine preventable diseases. Stakeholders noted a key opportunity </w:t>
      </w:r>
      <w:r w:rsidR="001B0B2B">
        <w:t>of</w:t>
      </w:r>
      <w:r w:rsidR="001B0B2B" w:rsidRPr="00A82515">
        <w:t xml:space="preserve"> </w:t>
      </w:r>
      <w:r w:rsidRPr="00A82515">
        <w:t>maximising and extending COVID-19 gains in immunisation infrastructure and capabilities to broader immunisation programming.</w:t>
      </w:r>
      <w:r>
        <w:t xml:space="preserve"> </w:t>
      </w:r>
      <w:r w:rsidRPr="00A82515">
        <w:t xml:space="preserve">Opportunities likely lie in the implementation of immunisation research, undertaking </w:t>
      </w:r>
      <w:proofErr w:type="spellStart"/>
      <w:r w:rsidRPr="00A82515">
        <w:t>serosurveillance</w:t>
      </w:r>
      <w:proofErr w:type="spellEnd"/>
      <w:r w:rsidRPr="00A82515">
        <w:t xml:space="preserve"> studies of vaccine-preventable diseases, and building regional capacity in social and behavioural science to inform vaccine programming decision-making, address vaccine hesitancy and increase vaccine uptake</w:t>
      </w:r>
      <w:r w:rsidR="001B0B2B">
        <w:t>.</w:t>
      </w:r>
      <w:r>
        <w:t xml:space="preserve"> </w:t>
      </w:r>
    </w:p>
    <w:p w14:paraId="13930BEC" w14:textId="77777777" w:rsidR="00D57C72" w:rsidRPr="00F738F7" w:rsidRDefault="00D57C72" w:rsidP="00D57C72">
      <w:pPr>
        <w:pStyle w:val="Heading3"/>
        <w:rPr>
          <w:i/>
          <w:iCs/>
          <w:lang w:val="en-GB"/>
        </w:rPr>
      </w:pPr>
      <w:r w:rsidRPr="00F738F7">
        <w:rPr>
          <w:lang w:val="en-GB"/>
        </w:rPr>
        <w:t>Health Workforce and Capacity</w:t>
      </w:r>
    </w:p>
    <w:p w14:paraId="0B3D13CF" w14:textId="77777777" w:rsidR="00D57C72" w:rsidRPr="00A82515" w:rsidRDefault="00D57C72" w:rsidP="00D57C72">
      <w:r w:rsidRPr="00A82515">
        <w:t xml:space="preserve">Workforce capacity and development featured as a key theme in discussions. Human resource constraints, high staff turnover and task shifting (either caused by or exacerbated by COVID-19) were noted as key challenges. There was particular interest in the sustainability of capacity development opportunities and in ensuring capacity development </w:t>
      </w:r>
      <w:r w:rsidRPr="00A82515">
        <w:lastRenderedPageBreak/>
        <w:t>activities do not place additional strain on workforces by extracting key personnel from the workplace and exacerbating staff shortages. Investing in the current workforce and supporting partner countries to plan for and address workforce shortages were encouraged.</w:t>
      </w:r>
      <w:r>
        <w:t xml:space="preserve"> </w:t>
      </w:r>
    </w:p>
    <w:p w14:paraId="412DB315" w14:textId="649C6B51" w:rsidR="00D57C72" w:rsidRPr="00A82515" w:rsidRDefault="00D57C72" w:rsidP="00D57C72">
      <w:r w:rsidRPr="00A82515">
        <w:t>Consultations affirmed various capacity development models including online training, short courses (</w:t>
      </w:r>
      <w:proofErr w:type="gramStart"/>
      <w:r w:rsidRPr="00A82515">
        <w:t>e.g.</w:t>
      </w:r>
      <w:proofErr w:type="gramEnd"/>
      <w:r w:rsidRPr="00A82515">
        <w:t xml:space="preserve"> Australian Awards Fellowships Program), scholarships to higher education, mentoring (both informal and formal) and facilitating the sharing of expertise in-country and within the region. Exchange opportunities and higher degree scholarships were thought to be effective in building strong long-term relationships. There was </w:t>
      </w:r>
      <w:r>
        <w:t xml:space="preserve">an </w:t>
      </w:r>
      <w:r w:rsidRPr="00A82515">
        <w:t xml:space="preserve">additional </w:t>
      </w:r>
      <w:r>
        <w:t>recommendation</w:t>
      </w:r>
      <w:r w:rsidRPr="00A82515">
        <w:t xml:space="preserve"> </w:t>
      </w:r>
      <w:r>
        <w:t xml:space="preserve">for </w:t>
      </w:r>
      <w:r w:rsidRPr="00A82515">
        <w:t xml:space="preserve">training </w:t>
      </w:r>
      <w:r>
        <w:t>to be</w:t>
      </w:r>
      <w:r w:rsidRPr="00A82515">
        <w:t xml:space="preserve"> embedded into local academic institutions to support localisation of capacity development efforts</w:t>
      </w:r>
      <w:r>
        <w:t>;</w:t>
      </w:r>
      <w:r w:rsidRPr="00A82515">
        <w:t xml:space="preserve"> and for mentoring type approaches which focus on integrating training and learning ‘on-the-job’ </w:t>
      </w:r>
      <w:r w:rsidR="001B0B2B">
        <w:t>as</w:t>
      </w:r>
      <w:r w:rsidR="001B0B2B" w:rsidRPr="00A82515">
        <w:t xml:space="preserve"> </w:t>
      </w:r>
      <w:r w:rsidRPr="00A82515">
        <w:t>more sustainable approaches to capacity development.</w:t>
      </w:r>
      <w:r>
        <w:t xml:space="preserve"> </w:t>
      </w:r>
    </w:p>
    <w:p w14:paraId="113C0007" w14:textId="77777777" w:rsidR="00D57C72" w:rsidRPr="00A82515" w:rsidRDefault="00D57C72" w:rsidP="00D57C72">
      <w:r w:rsidRPr="00A82515">
        <w:t>Where training is offered, ensuring training is contextual to the community in which it is being delivered was encouraged</w:t>
      </w:r>
      <w:r>
        <w:t xml:space="preserve"> by stakeholders</w:t>
      </w:r>
      <w:r w:rsidRPr="00A82515">
        <w:t>. Increased co-ordination of workforce training within and between countries that creates a sense of community between</w:t>
      </w:r>
      <w:r>
        <w:t xml:space="preserve"> countries</w:t>
      </w:r>
      <w:r w:rsidRPr="00A82515">
        <w:t xml:space="preserve">, including cross-regional training opportunities, was further supported. Training should also </w:t>
      </w:r>
      <w:proofErr w:type="gramStart"/>
      <w:r w:rsidRPr="00A82515">
        <w:t>take into account</w:t>
      </w:r>
      <w:proofErr w:type="gramEnd"/>
      <w:r w:rsidRPr="00A82515">
        <w:t xml:space="preserve"> issues of workforce retention, motivation </w:t>
      </w:r>
      <w:r>
        <w:t>and</w:t>
      </w:r>
      <w:r w:rsidRPr="00A82515">
        <w:t xml:space="preserve"> burnout. Leadership support of workforce development opportunities was considered critical; and bridging the gap between capacity built in-country and the use of that capacity by policy and decision-makers was noted as a need.</w:t>
      </w:r>
      <w:r>
        <w:t xml:space="preserve"> </w:t>
      </w:r>
    </w:p>
    <w:p w14:paraId="45D9C663" w14:textId="5FCDF5BD" w:rsidR="00D57C72" w:rsidRDefault="00D57C72" w:rsidP="00D57C72">
      <w:r w:rsidRPr="00A82515">
        <w:t xml:space="preserve">Frontline health workers – with some discussions placing a particular emphasis on the nursing workforce – were noted as key target cohorts for capacity development opportunities. These cohorts faced the greatest risk and strain on their capacity during the COVID-19 outbreak. </w:t>
      </w:r>
      <w:r>
        <w:t>During some</w:t>
      </w:r>
      <w:r w:rsidRPr="00A82515">
        <w:t xml:space="preserve"> consultations</w:t>
      </w:r>
      <w:r>
        <w:t>, training outside formal settings (including within the community) was encouraged</w:t>
      </w:r>
      <w:r w:rsidRPr="00A82515">
        <w:t xml:space="preserve">. Training </w:t>
      </w:r>
      <w:bookmarkStart w:id="3" w:name="_Hlk123559434"/>
      <w:r w:rsidRPr="00A82515">
        <w:t xml:space="preserve">in </w:t>
      </w:r>
      <w:r w:rsidR="001B0B2B">
        <w:t>infection prevention and control (IPC)</w:t>
      </w:r>
      <w:r w:rsidRPr="00A82515">
        <w:t xml:space="preserve">, </w:t>
      </w:r>
      <w:bookmarkEnd w:id="3"/>
      <w:r w:rsidRPr="00A82515">
        <w:t xml:space="preserve">disease recognition, surveillance and treatment referral were all noted as areas of </w:t>
      </w:r>
      <w:proofErr w:type="gramStart"/>
      <w:r w:rsidRPr="00A82515">
        <w:t>particular need</w:t>
      </w:r>
      <w:proofErr w:type="gramEnd"/>
      <w:r w:rsidRPr="00A82515">
        <w:t>.</w:t>
      </w:r>
    </w:p>
    <w:p w14:paraId="4E9CA67F" w14:textId="77777777" w:rsidR="00D57C72" w:rsidRDefault="00D57C72" w:rsidP="00D57C72">
      <w:r w:rsidRPr="00A82515">
        <w:t xml:space="preserve">Field epidemiology was raised in several discussions, particularly </w:t>
      </w:r>
      <w:proofErr w:type="gramStart"/>
      <w:r w:rsidRPr="00A82515">
        <w:t>in light of</w:t>
      </w:r>
      <w:proofErr w:type="gramEnd"/>
      <w:r w:rsidRPr="00A82515">
        <w:t xml:space="preserve"> the handling of COVID-19 outbreaks in the region. Increased sustainability and standardisation of field epidemiology training was noted as a key need, including the development of more high-quality workplace supervisors. Field epidemiology programming that considers political and social science, engages </w:t>
      </w:r>
      <w:proofErr w:type="gramStart"/>
      <w:r w:rsidRPr="00A82515">
        <w:t>communities</w:t>
      </w:r>
      <w:proofErr w:type="gramEnd"/>
      <w:r w:rsidRPr="00A82515">
        <w:t xml:space="preserve"> and informs policy was also highlighted as an ongoing gap</w:t>
      </w:r>
      <w:r>
        <w:t xml:space="preserve"> - and opportunity. </w:t>
      </w:r>
    </w:p>
    <w:p w14:paraId="6AAC2A81" w14:textId="77777777" w:rsidR="00D57C72" w:rsidRPr="00F738F7" w:rsidRDefault="00D57C72" w:rsidP="00D57C72">
      <w:pPr>
        <w:pStyle w:val="Heading3"/>
        <w:rPr>
          <w:i/>
          <w:iCs/>
          <w:lang w:val="en-GB"/>
        </w:rPr>
      </w:pPr>
      <w:r w:rsidRPr="00F738F7">
        <w:rPr>
          <w:lang w:val="en-GB"/>
        </w:rPr>
        <w:t xml:space="preserve">Laboratory Strengthening </w:t>
      </w:r>
    </w:p>
    <w:p w14:paraId="69E784EE" w14:textId="77777777" w:rsidR="00D57C72" w:rsidRPr="00A82515" w:rsidRDefault="00D57C72" w:rsidP="00D57C72">
      <w:r w:rsidRPr="00A82515">
        <w:t xml:space="preserve">Discussions on laboratory strengthening acknowledged the gains made in laboratory capabilities across the region during the COVID-19 pandemic. It was suggested that new technologies may assist in building linkages between work being done on different diseases including - for example, molecular serology which can identify the presence of multiple pathogens. Continued support to maintain capabilities </w:t>
      </w:r>
      <w:r>
        <w:t xml:space="preserve">developed during COVID-19 </w:t>
      </w:r>
      <w:r w:rsidRPr="00A82515">
        <w:t>w</w:t>
      </w:r>
      <w:r>
        <w:t>ill</w:t>
      </w:r>
      <w:r w:rsidRPr="00A82515">
        <w:t xml:space="preserve"> be critical.</w:t>
      </w:r>
    </w:p>
    <w:p w14:paraId="71E39824" w14:textId="77777777" w:rsidR="00D57C72" w:rsidRPr="00A82515" w:rsidRDefault="00D57C72" w:rsidP="00D57C72">
      <w:r>
        <w:t>Stakeholders highlighted the need in some contexts to</w:t>
      </w:r>
      <w:r w:rsidRPr="00A82515">
        <w:t xml:space="preserve"> support </w:t>
      </w:r>
      <w:r>
        <w:t xml:space="preserve">the establishment or organisation of </w:t>
      </w:r>
      <w:r w:rsidRPr="00A82515">
        <w:t>laborator</w:t>
      </w:r>
      <w:r>
        <w:t xml:space="preserve">y systems, including national or reference public health laboratories – while some </w:t>
      </w:r>
      <w:r w:rsidRPr="00A82515">
        <w:t xml:space="preserve">underscored the </w:t>
      </w:r>
      <w:r>
        <w:t xml:space="preserve">opportunity for scaling up of some </w:t>
      </w:r>
      <w:r w:rsidRPr="00A82515">
        <w:t xml:space="preserve">laboratory programs and </w:t>
      </w:r>
      <w:r>
        <w:t xml:space="preserve">possible </w:t>
      </w:r>
      <w:r w:rsidRPr="00A82515">
        <w:t>translat</w:t>
      </w:r>
      <w:r>
        <w:t xml:space="preserve">ion to </w:t>
      </w:r>
      <w:r w:rsidRPr="00A82515">
        <w:t>other country contexts</w:t>
      </w:r>
      <w:r>
        <w:t xml:space="preserve">. There was a further suggestion </w:t>
      </w:r>
      <w:r>
        <w:lastRenderedPageBreak/>
        <w:t xml:space="preserve">that investing in </w:t>
      </w:r>
      <w:r w:rsidRPr="00A82515">
        <w:t xml:space="preserve">laboratory </w:t>
      </w:r>
      <w:r>
        <w:t>networks between countries would support regional capacity building</w:t>
      </w:r>
      <w:r w:rsidRPr="00A82515">
        <w:t>. Linking health information systems within hospital and clinical settings and laboratories was recommended. Laboratory strengthening was also noted as a key component of enabling availability of quality data for decision-making.</w:t>
      </w:r>
      <w:r>
        <w:t xml:space="preserve"> </w:t>
      </w:r>
    </w:p>
    <w:p w14:paraId="43509CAE" w14:textId="77777777" w:rsidR="00D57C72" w:rsidRPr="00F738F7" w:rsidRDefault="00D57C72" w:rsidP="00D57C72">
      <w:pPr>
        <w:pStyle w:val="Heading3"/>
        <w:rPr>
          <w:i/>
          <w:iCs/>
          <w:lang w:val="en-GB"/>
        </w:rPr>
      </w:pPr>
      <w:r w:rsidRPr="00F738F7">
        <w:rPr>
          <w:lang w:val="en-GB"/>
        </w:rPr>
        <w:t xml:space="preserve">Deployable Health Capability and Outbreak Prevention and Control </w:t>
      </w:r>
    </w:p>
    <w:p w14:paraId="0697A5F1" w14:textId="77777777" w:rsidR="00D57C72" w:rsidRPr="00A82515" w:rsidRDefault="00D57C72" w:rsidP="00D57C72">
      <w:r w:rsidRPr="00A82515">
        <w:t>Deployments and access to technical expertise, particularly in public health, were considered</w:t>
      </w:r>
      <w:r>
        <w:t xml:space="preserve"> by stakeholders as </w:t>
      </w:r>
      <w:r w:rsidRPr="00A82515">
        <w:t xml:space="preserve">key modalities to address </w:t>
      </w:r>
      <w:r>
        <w:t>health</w:t>
      </w:r>
      <w:r w:rsidRPr="00A82515">
        <w:t xml:space="preserve"> priorities in the region. Building Australia’s deployable health capability and having access to a pool of seasoned public health experts </w:t>
      </w:r>
      <w:r>
        <w:t>who</w:t>
      </w:r>
      <w:r w:rsidRPr="00A82515">
        <w:t xml:space="preserve"> can provide </w:t>
      </w:r>
      <w:proofErr w:type="gramStart"/>
      <w:r>
        <w:t xml:space="preserve">short, medium, and </w:t>
      </w:r>
      <w:r w:rsidRPr="00A82515">
        <w:t>long term</w:t>
      </w:r>
      <w:proofErr w:type="gramEnd"/>
      <w:r w:rsidRPr="00A82515">
        <w:t xml:space="preserve"> support</w:t>
      </w:r>
      <w:r>
        <w:t>, including health crisis response,</w:t>
      </w:r>
      <w:r w:rsidRPr="00A82515">
        <w:t xml:space="preserve"> was considered valuable.</w:t>
      </w:r>
      <w:r>
        <w:t xml:space="preserve"> </w:t>
      </w:r>
    </w:p>
    <w:p w14:paraId="02C5C328" w14:textId="4D02160A" w:rsidR="00D57C72" w:rsidRPr="00A82515" w:rsidRDefault="00D57C72" w:rsidP="00D57C72">
      <w:r w:rsidRPr="00A82515">
        <w:t>Developing in-country and regional public health emergency response capabilities (beyond rapid response/deployable teams) was further noted as a need. Limited emergency response capacity, re-deployment of human resources and task shifting were noted as key challenges during the COVID-19 pandemic, hampering the health systems ability to respon</w:t>
      </w:r>
      <w:r w:rsidR="00E52971">
        <w:t>d</w:t>
      </w:r>
      <w:r w:rsidRPr="00A82515">
        <w:t xml:space="preserve"> effectively and maintain routine services. Extending support to Emergency Operations Centres in provincial centres was thought to be important in strengthening capacity for a co-ordinated and comprehensive response. Strategic planning that accounts for surge capacity was also recommended</w:t>
      </w:r>
      <w:r>
        <w:t xml:space="preserve">, including </w:t>
      </w:r>
      <w:r w:rsidR="00E52971">
        <w:t xml:space="preserve">improving </w:t>
      </w:r>
      <w:r>
        <w:t>linkages between national Emergency Medical Teams and public health response teams, such as Rapid Response Teams for outbreaks</w:t>
      </w:r>
      <w:r w:rsidRPr="00A82515">
        <w:t>.</w:t>
      </w:r>
    </w:p>
    <w:p w14:paraId="77DC7646" w14:textId="1EE7B778" w:rsidR="00D57C72" w:rsidRPr="00A82515" w:rsidRDefault="00D57C72" w:rsidP="00D57C72">
      <w:r w:rsidRPr="00A82515">
        <w:t xml:space="preserve">Some discussions emphasised hospital oxygen systems and access to oxygen within the region as a cost-effective intervention to reduce child mortality from both infectious and non-infectious causes, particularly during outbreaks. Systemic barriers included the access to and availability of oxygen as well as the ability to </w:t>
      </w:r>
      <w:r w:rsidR="00E52971">
        <w:t xml:space="preserve">effectively </w:t>
      </w:r>
      <w:r w:rsidRPr="00A82515">
        <w:t>administer, monitor and adjust oxygen delivery. The provision of training, ongoing support and mentoring for healthcare workers were noted as key mechanisms to improve capabilities</w:t>
      </w:r>
      <w:r>
        <w:t xml:space="preserve"> in this area</w:t>
      </w:r>
      <w:r w:rsidRPr="00A82515">
        <w:t>.</w:t>
      </w:r>
      <w:r>
        <w:t xml:space="preserve"> </w:t>
      </w:r>
    </w:p>
    <w:p w14:paraId="5FB243BB" w14:textId="77777777" w:rsidR="00D57C72" w:rsidRPr="00A82515" w:rsidRDefault="00D57C72" w:rsidP="00D57C72">
      <w:r w:rsidRPr="00A82515">
        <w:t xml:space="preserve">Capacity in biomedical technology was identified in some discussions as a gap across the region (particularly in Pacific Island Countries), with current training courses producing few graduates. The increased sustainability of investments in training was suggested </w:t>
      </w:r>
      <w:proofErr w:type="gramStart"/>
      <w:r w:rsidRPr="00A82515">
        <w:t>as a means to</w:t>
      </w:r>
      <w:proofErr w:type="gramEnd"/>
      <w:r w:rsidRPr="00A82515">
        <w:t xml:space="preserve"> address this issue. Furthermore, development in biomedical technology was highlighted as necessary to address issues related to oxygen systems and access to oxygen.</w:t>
      </w:r>
      <w:r>
        <w:t xml:space="preserve"> </w:t>
      </w:r>
    </w:p>
    <w:p w14:paraId="54DD47DB" w14:textId="77777777" w:rsidR="00D57C72" w:rsidRPr="00F738F7" w:rsidRDefault="00D57C72" w:rsidP="00D57C72">
      <w:pPr>
        <w:pStyle w:val="Heading3"/>
        <w:rPr>
          <w:i/>
          <w:iCs/>
          <w:lang w:val="en-GB"/>
        </w:rPr>
      </w:pPr>
      <w:r w:rsidRPr="00F738F7">
        <w:rPr>
          <w:lang w:val="en-GB"/>
        </w:rPr>
        <w:t>Vector-Borne Disease Control</w:t>
      </w:r>
    </w:p>
    <w:p w14:paraId="481A7E1D" w14:textId="77777777" w:rsidR="00D57C72" w:rsidRPr="00A82515" w:rsidRDefault="00D57C72" w:rsidP="00D57C72">
      <w:pPr>
        <w:spacing w:before="60"/>
        <w:rPr>
          <w:rFonts w:asciiTheme="majorHAnsi" w:hAnsiTheme="majorHAnsi" w:cstheme="majorHAnsi"/>
          <w:color w:val="44546A" w:themeColor="text2"/>
        </w:rPr>
      </w:pPr>
      <w:r w:rsidRPr="00D57C72">
        <w:t>Discussions on vector-borne disease control highlighted the need to extend training beyond vector surveillance to include training on proactive (</w:t>
      </w:r>
      <w:proofErr w:type="gramStart"/>
      <w:r w:rsidRPr="00D57C72">
        <w:t>e.g.</w:t>
      </w:r>
      <w:proofErr w:type="gramEnd"/>
      <w:r w:rsidRPr="00D57C72">
        <w:t xml:space="preserve"> community clean up) and reactive (e.g. indoor residual spraying) control measures. Some discussions highlighted the expansion of the dengue virus in the region as a particular concern with antigenic variation, strain drift and emergence as key related issues.</w:t>
      </w:r>
    </w:p>
    <w:p w14:paraId="3B650B68" w14:textId="36CBD05A" w:rsidR="00D57C72" w:rsidRPr="00F738F7" w:rsidRDefault="00D57C72" w:rsidP="00D57C72">
      <w:pPr>
        <w:pStyle w:val="Heading3"/>
        <w:rPr>
          <w:i/>
          <w:iCs/>
          <w:lang w:val="en-GB"/>
        </w:rPr>
      </w:pPr>
      <w:r w:rsidRPr="00F738F7">
        <w:rPr>
          <w:lang w:val="en-GB"/>
        </w:rPr>
        <w:t>Antimicrobial resistance</w:t>
      </w:r>
      <w:r w:rsidR="009F41BB">
        <w:rPr>
          <w:lang w:val="en-GB"/>
        </w:rPr>
        <w:t xml:space="preserve"> (AMR)</w:t>
      </w:r>
    </w:p>
    <w:p w14:paraId="2E736BB3" w14:textId="64144F9B" w:rsidR="00D57C72" w:rsidRPr="00A82515" w:rsidRDefault="009F41BB" w:rsidP="00D57C72">
      <w:r>
        <w:t>Antimicrobial resistance (AMR)</w:t>
      </w:r>
      <w:r w:rsidRPr="00A82515">
        <w:t xml:space="preserve"> </w:t>
      </w:r>
      <w:r w:rsidR="00D57C72" w:rsidRPr="00A82515">
        <w:t xml:space="preserve">was seen as a priority with discussions pointing to the need for a multifaceted approach across surveillance and clinical support. </w:t>
      </w:r>
      <w:r w:rsidR="00D57C72">
        <w:t>Stakeholders suggested the priority needs in relation to AMR included:</w:t>
      </w:r>
      <w:r w:rsidR="00D57C72" w:rsidRPr="00A82515">
        <w:t xml:space="preserve"> strengthened surveillance of antimicrobial use and resistance</w:t>
      </w:r>
      <w:r w:rsidR="00D57C72">
        <w:t xml:space="preserve"> in humans, </w:t>
      </w:r>
      <w:proofErr w:type="gramStart"/>
      <w:r w:rsidR="00D57C72">
        <w:t>animals</w:t>
      </w:r>
      <w:proofErr w:type="gramEnd"/>
      <w:r w:rsidR="00D57C72">
        <w:t xml:space="preserve"> and the environment; </w:t>
      </w:r>
      <w:r w:rsidR="00D57C72" w:rsidRPr="00A82515">
        <w:t>improved diagnostics</w:t>
      </w:r>
      <w:r w:rsidR="00D57C72">
        <w:t xml:space="preserve">; </w:t>
      </w:r>
      <w:r w:rsidR="00D57C72" w:rsidRPr="00A82515">
        <w:t xml:space="preserve">and the </w:t>
      </w:r>
      <w:r w:rsidR="00D57C72" w:rsidRPr="00A82515">
        <w:lastRenderedPageBreak/>
        <w:t>promotion of stewardship activities such as improving national policies and guidelines related to antimicrobial use. </w:t>
      </w:r>
    </w:p>
    <w:p w14:paraId="1CF7807B" w14:textId="68A766DE" w:rsidR="00D57C72" w:rsidRPr="00F738F7" w:rsidRDefault="00D57C72" w:rsidP="00D57C72">
      <w:pPr>
        <w:pStyle w:val="Heading3"/>
        <w:rPr>
          <w:i/>
          <w:iCs/>
          <w:lang w:val="en-GB"/>
        </w:rPr>
      </w:pPr>
      <w:r w:rsidRPr="00F738F7">
        <w:rPr>
          <w:lang w:val="en-GB"/>
        </w:rPr>
        <w:t>Infection Prevention and Control</w:t>
      </w:r>
      <w:r w:rsidR="009F41BB">
        <w:rPr>
          <w:lang w:val="en-GB"/>
        </w:rPr>
        <w:t xml:space="preserve"> (IPC)</w:t>
      </w:r>
    </w:p>
    <w:p w14:paraId="5E08A8FA" w14:textId="77777777" w:rsidR="00D57C72" w:rsidRPr="00A82515" w:rsidRDefault="00D57C72" w:rsidP="00D57C72">
      <w:r w:rsidRPr="00A82515">
        <w:t xml:space="preserve">While there have been some gains on IPC during COVID-19, </w:t>
      </w:r>
      <w:r>
        <w:t>stakeholders noted</w:t>
      </w:r>
      <w:r w:rsidRPr="00A82515">
        <w:t xml:space="preserve"> </w:t>
      </w:r>
      <w:r>
        <w:t>a</w:t>
      </w:r>
      <w:r w:rsidRPr="00A82515">
        <w:t xml:space="preserve"> </w:t>
      </w:r>
      <w:r>
        <w:t>gap in relation to</w:t>
      </w:r>
      <w:r w:rsidRPr="00A82515">
        <w:t xml:space="preserve"> foundational IPC programs – including on training and policy – for many countries in the region. Discussions underlined the need for</w:t>
      </w:r>
      <w:r>
        <w:t>:</w:t>
      </w:r>
      <w:r w:rsidRPr="00A82515">
        <w:t xml:space="preserve"> a collaborative, system strengthening approach; support for governance and the development of IPC protocols from ministry to community level</w:t>
      </w:r>
      <w:r>
        <w:t>;</w:t>
      </w:r>
      <w:r w:rsidRPr="00A82515">
        <w:t xml:space="preserve"> and mentorship programs for health worker training to sustain interventions.</w:t>
      </w:r>
    </w:p>
    <w:p w14:paraId="0D4764CD" w14:textId="77777777" w:rsidR="00D57C72" w:rsidRPr="00F738F7" w:rsidRDefault="00D57C72" w:rsidP="00D57C72">
      <w:pPr>
        <w:pStyle w:val="Heading3"/>
        <w:rPr>
          <w:i/>
          <w:iCs/>
          <w:lang w:val="en-GB"/>
        </w:rPr>
      </w:pPr>
      <w:r w:rsidRPr="00F738F7">
        <w:rPr>
          <w:lang w:val="en-GB"/>
        </w:rPr>
        <w:t>Community Engagement</w:t>
      </w:r>
    </w:p>
    <w:p w14:paraId="06F2C81F" w14:textId="65B691F7" w:rsidR="00D57C72" w:rsidRPr="00A82515" w:rsidRDefault="00D57C72" w:rsidP="00D57C72">
      <w:r w:rsidRPr="00A82515">
        <w:t>Community engagement and building trust within the community of the health system was highlighted across forums as being key to supporting the reach and acceptance of health programs. Working beyond formal systems</w:t>
      </w:r>
      <w:r>
        <w:t xml:space="preserve"> </w:t>
      </w:r>
      <w:r w:rsidRPr="00A82515">
        <w:t>to engage communities was encouraged, including a recommendation to seek out those groups in-country that have strong links to local communities</w:t>
      </w:r>
      <w:r>
        <w:t xml:space="preserve"> and </w:t>
      </w:r>
      <w:r w:rsidRPr="00A82515">
        <w:t xml:space="preserve">exploring non-traditional means for engagement. Community engagement was noted </w:t>
      </w:r>
      <w:r w:rsidR="009F41BB">
        <w:t xml:space="preserve">as </w:t>
      </w:r>
      <w:r w:rsidRPr="00A82515">
        <w:t xml:space="preserve">critical for a range of programs </w:t>
      </w:r>
      <w:proofErr w:type="gramStart"/>
      <w:r w:rsidRPr="00A82515">
        <w:t>including:</w:t>
      </w:r>
      <w:proofErr w:type="gramEnd"/>
      <w:r w:rsidRPr="00A82515">
        <w:t xml:space="preserve"> TB, vector control, communication efforts (e.g. provision of information, education and communications materials), health literacy and IPC. Discussions noted that integration between community surveillance networks and national coordination centres remained important, particularly during outbreaks.</w:t>
      </w:r>
    </w:p>
    <w:p w14:paraId="2AF3F0DB" w14:textId="7A3ED335" w:rsidR="00D57C72" w:rsidRPr="00A82515" w:rsidRDefault="00D57C72" w:rsidP="00D57C72">
      <w:r w:rsidRPr="00A82515">
        <w:t xml:space="preserve">Discussions also highlighted the need to prioritise delivery models that promote local capacity development and ownership to </w:t>
      </w:r>
      <w:r>
        <w:t>support</w:t>
      </w:r>
      <w:r w:rsidRPr="00A82515">
        <w:t xml:space="preserve"> sustainable outcomes. This include</w:t>
      </w:r>
      <w:r w:rsidR="00FA708B">
        <w:t>d</w:t>
      </w:r>
      <w:r w:rsidRPr="00A82515">
        <w:t xml:space="preserve"> not only community consultation, but the need for broader discussions related to governance structures</w:t>
      </w:r>
      <w:r>
        <w:t>.</w:t>
      </w:r>
      <w:r w:rsidRPr="00A82515">
        <w:t xml:space="preserve"> </w:t>
      </w:r>
      <w:r>
        <w:t>P</w:t>
      </w:r>
      <w:r w:rsidRPr="00A82515">
        <w:t>articipatory methods</w:t>
      </w:r>
      <w:r>
        <w:t xml:space="preserve"> were encouraged</w:t>
      </w:r>
      <w:r w:rsidRPr="00A82515">
        <w:t>, including in all aspects of planning, implementing, and monitoring</w:t>
      </w:r>
      <w:r>
        <w:t xml:space="preserve"> or programs</w:t>
      </w:r>
      <w:r w:rsidRPr="00A82515">
        <w:t>. This could</w:t>
      </w:r>
      <w:r>
        <w:t>, for example,</w:t>
      </w:r>
      <w:r w:rsidRPr="00A82515">
        <w:t xml:space="preserve"> include prioritising mentoring and education</w:t>
      </w:r>
      <w:r>
        <w:t xml:space="preserve"> for communities,</w:t>
      </w:r>
      <w:r w:rsidRPr="00A82515">
        <w:t xml:space="preserve"> funding</w:t>
      </w:r>
      <w:r>
        <w:t xml:space="preserve"> of</w:t>
      </w:r>
      <w:r w:rsidRPr="00A82515">
        <w:t xml:space="preserve"> local organisations, and supporting local leadership. </w:t>
      </w:r>
    </w:p>
    <w:p w14:paraId="6B6BBFBF" w14:textId="77777777" w:rsidR="00D57C72" w:rsidRPr="00F738F7" w:rsidRDefault="00D57C72" w:rsidP="00D57C72">
      <w:pPr>
        <w:pStyle w:val="Heading3"/>
        <w:rPr>
          <w:i/>
          <w:iCs/>
          <w:lang w:val="en-GB"/>
        </w:rPr>
      </w:pPr>
      <w:r w:rsidRPr="00F738F7">
        <w:rPr>
          <w:lang w:val="en-GB"/>
        </w:rPr>
        <w:t>Health Data Collection, Analysis, Surveillance and Epidemiology</w:t>
      </w:r>
    </w:p>
    <w:p w14:paraId="1FA7F973" w14:textId="77777777" w:rsidR="00D57C72" w:rsidRPr="00A82515" w:rsidRDefault="00D57C72" w:rsidP="00D57C72">
      <w:r>
        <w:t xml:space="preserve">Stakeholders noted COVID-19 pandemic supported </w:t>
      </w:r>
      <w:r w:rsidRPr="00A82515">
        <w:t xml:space="preserve">digital maturity of health systems </w:t>
      </w:r>
      <w:r>
        <w:t xml:space="preserve">in several countries. This </w:t>
      </w:r>
      <w:r w:rsidRPr="00A82515">
        <w:t>includ</w:t>
      </w:r>
      <w:r>
        <w:t>ed</w:t>
      </w:r>
      <w:r w:rsidRPr="00A82515">
        <w:t xml:space="preserve"> the use of mobile technologies and other digital infrastructure for</w:t>
      </w:r>
      <w:r>
        <w:t xml:space="preserve"> surveillance,</w:t>
      </w:r>
      <w:r w:rsidRPr="00A82515">
        <w:t xml:space="preserve"> health service delivery </w:t>
      </w:r>
      <w:r>
        <w:t xml:space="preserve">monitoring </w:t>
      </w:r>
      <w:r w:rsidRPr="00A82515">
        <w:t xml:space="preserve">and emergency preparedness. Improving health information systems and data for decision-making was seen as important for promoting long-term sustained health planning and monitoring. </w:t>
      </w:r>
    </w:p>
    <w:p w14:paraId="0A197C62" w14:textId="77777777" w:rsidR="00D57C72" w:rsidRPr="00A82515" w:rsidRDefault="00D57C72" w:rsidP="00D57C72">
      <w:r w:rsidRPr="00A82515">
        <w:t>Emerging from this, integrated data management and use of data for decision-making was highlighted as a key opportunity, including supporting the visualisation and use of data that supports policy advice and decision making, and informs national resource allocation. Strengthening data literacy capabilities and involving communities and engaging local leadership was encouraged. There was further recognition of the value and need to build in interoperability of data systems</w:t>
      </w:r>
      <w:r>
        <w:t xml:space="preserve"> within countries</w:t>
      </w:r>
      <w:r w:rsidRPr="00A82515">
        <w:t xml:space="preserve">. Discussions also placed additional attention on the need to extend support to the requisite data infrastructure including, for example, hardware, </w:t>
      </w:r>
      <w:proofErr w:type="gramStart"/>
      <w:r w:rsidRPr="00A82515">
        <w:t>software</w:t>
      </w:r>
      <w:proofErr w:type="gramEnd"/>
      <w:r w:rsidRPr="00A82515">
        <w:t xml:space="preserve"> and necessary human resources.</w:t>
      </w:r>
      <w:r>
        <w:t xml:space="preserve"> </w:t>
      </w:r>
    </w:p>
    <w:p w14:paraId="0EC579A5" w14:textId="77777777" w:rsidR="00D57C72" w:rsidRPr="00A82515" w:rsidRDefault="00D57C72" w:rsidP="00D57C72">
      <w:r w:rsidRPr="00A82515">
        <w:lastRenderedPageBreak/>
        <w:t>Investment in multi-source surveillance and real time feedback loops remains important</w:t>
      </w:r>
      <w:r>
        <w:t xml:space="preserve"> to stakeholders</w:t>
      </w:r>
      <w:r w:rsidRPr="00A82515">
        <w:t>, including at the community level, in the clinical setting and within laboratories. Some discussions emphasised the need to strengthen surveillance systems which incorporate clinical information and community transmission dynamics to enable data triangulation and better use of data for decision-making. Additionally, there was a recognition that drawing the link between surveillance data and policy dialogue and development is an opportunity that could be strengthened. Efforts to support surveillance to take a One Health approach and extend to the examination of critical control points in pathways from animal to human transmission was encouraged, particularly to prepare for future outbreaks. The capacity of the workforce to support multi-source surveillance systems was noted as critical and the value of a contextual approach was noted (</w:t>
      </w:r>
      <w:proofErr w:type="gramStart"/>
      <w:r w:rsidRPr="00A82515">
        <w:t>e.g.</w:t>
      </w:r>
      <w:proofErr w:type="gramEnd"/>
      <w:r w:rsidRPr="00A82515">
        <w:t xml:space="preserve"> in regards to vector surveillance, country context which provides detail on mosquitos and insecticide resistance </w:t>
      </w:r>
      <w:r>
        <w:t>was</w:t>
      </w:r>
      <w:r w:rsidRPr="00A82515">
        <w:t xml:space="preserve"> </w:t>
      </w:r>
      <w:r>
        <w:t xml:space="preserve">considered </w:t>
      </w:r>
      <w:r w:rsidRPr="00A82515">
        <w:t>key</w:t>
      </w:r>
      <w:r>
        <w:t xml:space="preserve"> by stakeholders</w:t>
      </w:r>
      <w:r w:rsidRPr="00A82515">
        <w:t>). Uptake and engagement on modelling in the region were reported as being challenging, compounded by limited availability of data.</w:t>
      </w:r>
    </w:p>
    <w:p w14:paraId="48D871B4" w14:textId="77777777" w:rsidR="00D57C72" w:rsidRPr="00F738F7" w:rsidRDefault="00D57C72" w:rsidP="00D57C72">
      <w:pPr>
        <w:pStyle w:val="Heading3"/>
        <w:rPr>
          <w:i/>
          <w:iCs/>
          <w:lang w:val="en-GB"/>
        </w:rPr>
      </w:pPr>
      <w:r w:rsidRPr="00F738F7">
        <w:rPr>
          <w:lang w:val="en-GB"/>
        </w:rPr>
        <w:t>Research, Product Development and Regulatory Support</w:t>
      </w:r>
    </w:p>
    <w:p w14:paraId="328EDA29" w14:textId="573999A7" w:rsidR="00D57C72" w:rsidRPr="00A82515" w:rsidRDefault="00D57C72" w:rsidP="00D57C72">
      <w:r w:rsidRPr="00A82515">
        <w:t xml:space="preserve">Discussions on </w:t>
      </w:r>
      <w:bookmarkStart w:id="4" w:name="_Hlk123559505"/>
      <w:r w:rsidR="00FA708B">
        <w:t>Product Development Partnerships (PDPs)</w:t>
      </w:r>
      <w:r w:rsidR="00FA708B" w:rsidRPr="00A82515">
        <w:t xml:space="preserve"> </w:t>
      </w:r>
      <w:r w:rsidRPr="00A82515">
        <w:t xml:space="preserve">included </w:t>
      </w:r>
      <w:bookmarkEnd w:id="4"/>
      <w:r w:rsidRPr="00A82515">
        <w:t>acknowledgement of the global reach of these partnerships and the value of ensuring Australia has a voice within these consortia</w:t>
      </w:r>
      <w:r>
        <w:t xml:space="preserve"> to be able to advocate for the needs of our region</w:t>
      </w:r>
      <w:r w:rsidRPr="00A82515">
        <w:t xml:space="preserve">. There was also acknowledgement of the relationships that PDPs have with Australian institutions and the </w:t>
      </w:r>
      <w:r>
        <w:t xml:space="preserve">mutual </w:t>
      </w:r>
      <w:r w:rsidRPr="00A82515">
        <w:t xml:space="preserve">opportunity this presents for </w:t>
      </w:r>
      <w:r>
        <w:t>PDPs to work more effectively in the region as well as providing an avenue for Australian organisations to make global contributions</w:t>
      </w:r>
      <w:r w:rsidRPr="00A82515">
        <w:t>. While there was recognition that PDPs have been effective in creating a pipeline for new treatments (</w:t>
      </w:r>
      <w:proofErr w:type="gramStart"/>
      <w:r w:rsidRPr="00A82515">
        <w:t>e.g.</w:t>
      </w:r>
      <w:proofErr w:type="gramEnd"/>
      <w:r w:rsidRPr="00A82515">
        <w:t xml:space="preserve"> Malaria), it was highlighted that challenges remain in incorporating new treatments into country planning and practice. Additionally, cost</w:t>
      </w:r>
      <w:r>
        <w:t xml:space="preserve"> </w:t>
      </w:r>
      <w:r w:rsidRPr="00A82515">
        <w:t xml:space="preserve">was identified as a significant barrier to the introduction and procurement of products in the region (including </w:t>
      </w:r>
      <w:r>
        <w:t xml:space="preserve">the cost of </w:t>
      </w:r>
      <w:r w:rsidRPr="00A82515">
        <w:t xml:space="preserve">diagnostics and vaccines). </w:t>
      </w:r>
    </w:p>
    <w:p w14:paraId="2D543395" w14:textId="77777777" w:rsidR="00D57C72" w:rsidRPr="00A82515" w:rsidDel="000C0269" w:rsidRDefault="00D57C72" w:rsidP="00D57C72">
      <w:r>
        <w:t xml:space="preserve">Stakeholders reinforced the need to </w:t>
      </w:r>
      <w:r w:rsidRPr="00A82515">
        <w:t>consider product access and implementation as a key element of PDPs</w:t>
      </w:r>
      <w:r>
        <w:t>.</w:t>
      </w:r>
      <w:r w:rsidRPr="00A82515">
        <w:t xml:space="preserve"> Effective malaria and TB drugs and diagnostics already exist, for example, yet these drugs face significant access barriers across the region. </w:t>
      </w:r>
      <w:r>
        <w:t>Stakeholders suggested that product access requires support from other organisations, with strong coordination with PDPs to avoid over-burdening partner governments</w:t>
      </w:r>
      <w:r w:rsidRPr="00A82515">
        <w:t xml:space="preserve">. </w:t>
      </w:r>
      <w:r>
        <w:t>Future product development programming opportunities for DFAT that were highlighted by stakeholders included:</w:t>
      </w:r>
      <w:r w:rsidRPr="00A82515">
        <w:t xml:space="preserve"> supporting local and regional capacity for good manufacturing practices, technology transfers, regulatory strengthening (in both countries with and without established regulators), quality and risk assurance and market surveillance, product introduction and deployment activities, and improving procurement and supply chain systems and stockpiles. The issue of substandard and falsified medical products, particularly in Southeast Asia, was also raised, in addition to the correct use and administration of treatments.</w:t>
      </w:r>
    </w:p>
    <w:p w14:paraId="42DB20FF" w14:textId="77777777" w:rsidR="00856BA2" w:rsidRDefault="00D57C72" w:rsidP="00856BA2">
      <w:pPr>
        <w:pStyle w:val="Heading3"/>
        <w:rPr>
          <w:lang w:val="en-GB"/>
        </w:rPr>
      </w:pPr>
      <w:r w:rsidRPr="00F738F7">
        <w:rPr>
          <w:lang w:val="en-GB"/>
        </w:rPr>
        <w:t>One Health and Climate Change</w:t>
      </w:r>
    </w:p>
    <w:p w14:paraId="7BA15453" w14:textId="3BBC5379" w:rsidR="00D57C72" w:rsidRDefault="00D57C72" w:rsidP="00267342">
      <w:r w:rsidRPr="00A82515">
        <w:t xml:space="preserve">Discussions noted the socioenvironmental threats to health security, including those caused by climate change and biodiversity loss, and the need for a more integrated approach to health security that incorporate human, animal, and environmental health. </w:t>
      </w:r>
      <w:r>
        <w:t xml:space="preserve">Consultations </w:t>
      </w:r>
      <w:r>
        <w:lastRenderedPageBreak/>
        <w:t xml:space="preserve">pointed to a </w:t>
      </w:r>
      <w:r w:rsidRPr="00A82515">
        <w:t xml:space="preserve">greater focus on zoonoses </w:t>
      </w:r>
      <w:r>
        <w:t>as bring critical in</w:t>
      </w:r>
      <w:r w:rsidRPr="00A82515">
        <w:t xml:space="preserve"> address</w:t>
      </w:r>
      <w:r>
        <w:t>ing</w:t>
      </w:r>
      <w:r w:rsidRPr="00A82515">
        <w:t xml:space="preserve"> the root causes of epidemic and pandemic outbreaks.</w:t>
      </w:r>
    </w:p>
    <w:p w14:paraId="772CF6F9" w14:textId="77777777" w:rsidR="00D57C72" w:rsidRDefault="00D57C72" w:rsidP="00D57C72">
      <w:r w:rsidRPr="00A82515">
        <w:t xml:space="preserve">Participants across consultations encouraged </w:t>
      </w:r>
      <w:r>
        <w:t xml:space="preserve">DFAT </w:t>
      </w:r>
      <w:r w:rsidRPr="00A82515">
        <w:t>to</w:t>
      </w:r>
      <w:r>
        <w:t xml:space="preserve"> support</w:t>
      </w:r>
      <w:r w:rsidRPr="00A82515">
        <w:t xml:space="preserve"> a holistic approach to health through a One Health lens</w:t>
      </w:r>
      <w:r>
        <w:t xml:space="preserve"> including and to facilitate im</w:t>
      </w:r>
      <w:r w:rsidRPr="00A82515">
        <w:t>proved co-ordination of efforts across human</w:t>
      </w:r>
      <w:r>
        <w:t xml:space="preserve">, </w:t>
      </w:r>
      <w:r w:rsidRPr="00A82515">
        <w:t>animal</w:t>
      </w:r>
      <w:r>
        <w:t xml:space="preserve"> and environment</w:t>
      </w:r>
      <w:r w:rsidRPr="00A82515">
        <w:t xml:space="preserve"> health </w:t>
      </w:r>
      <w:r>
        <w:t>sectors</w:t>
      </w:r>
      <w:r w:rsidRPr="00A82515">
        <w:t xml:space="preserve">, including in areas of surveillance. </w:t>
      </w:r>
      <w:r>
        <w:t>Stakeholders recommended supporting</w:t>
      </w:r>
      <w:r w:rsidRPr="00A82515">
        <w:t xml:space="preserve"> </w:t>
      </w:r>
      <w:r>
        <w:t>the</w:t>
      </w:r>
      <w:r w:rsidRPr="00A82515">
        <w:t xml:space="preserve"> One Health workforce and </w:t>
      </w:r>
      <w:r>
        <w:t xml:space="preserve">seeking to invest in </w:t>
      </w:r>
      <w:r w:rsidRPr="00A82515">
        <w:t>community capabilities related to animal and environment health</w:t>
      </w:r>
      <w:r>
        <w:t xml:space="preserve"> (in addition to human health capabilities)</w:t>
      </w:r>
      <w:r w:rsidRPr="00A82515">
        <w:t xml:space="preserve">. </w:t>
      </w:r>
    </w:p>
    <w:p w14:paraId="130BB45B" w14:textId="77777777" w:rsidR="00D57C72" w:rsidRPr="00A82515" w:rsidRDefault="00D57C72" w:rsidP="00D57C72">
      <w:r w:rsidRPr="00A82515">
        <w:t xml:space="preserve">Climate change was also raised frequently. Discussions noted that the impacts of climate change, and climate-sensitive infectious diseases </w:t>
      </w:r>
      <w:r>
        <w:t>were likely to</w:t>
      </w:r>
      <w:r w:rsidRPr="00A82515">
        <w:t xml:space="preserve"> disproportionately burden lower income countries. Food insecurity and changing patterns of vector-borne diseases brought on by the impacts of climate change were seen as threats to health security in the region and </w:t>
      </w:r>
      <w:r>
        <w:t xml:space="preserve">stakeholders recommended </w:t>
      </w:r>
      <w:r w:rsidRPr="00A82515">
        <w:t>a multi-sectoral response.</w:t>
      </w:r>
    </w:p>
    <w:p w14:paraId="4312D150" w14:textId="77777777" w:rsidR="00D57C72" w:rsidRPr="00F738F7" w:rsidRDefault="00D57C72" w:rsidP="00D57C72">
      <w:pPr>
        <w:pStyle w:val="Heading3"/>
        <w:rPr>
          <w:i/>
          <w:iCs/>
          <w:lang w:val="en-GB"/>
        </w:rPr>
      </w:pPr>
      <w:bookmarkStart w:id="5" w:name="_Hlk123559563"/>
      <w:r w:rsidRPr="00F738F7">
        <w:rPr>
          <w:lang w:val="en-GB"/>
        </w:rPr>
        <w:t xml:space="preserve">Gender Equality, Disability and Social Inclusion, </w:t>
      </w:r>
      <w:bookmarkEnd w:id="5"/>
      <w:r w:rsidRPr="00F738F7">
        <w:rPr>
          <w:lang w:val="en-GB"/>
        </w:rPr>
        <w:t xml:space="preserve">and First Nations Engagement </w:t>
      </w:r>
    </w:p>
    <w:p w14:paraId="43F4C420" w14:textId="4B2F0B31" w:rsidR="00D57C72" w:rsidRDefault="00D57C72" w:rsidP="00D57C72">
      <w:r w:rsidRPr="00A82515">
        <w:t xml:space="preserve">Consultations reinforced the increased risk certain groups face to health issues, including infectious diseases, and the critical importance of investing in gender equality and inclusive development. A lack of investment in data related to gender, age, </w:t>
      </w:r>
      <w:proofErr w:type="gramStart"/>
      <w:r w:rsidRPr="00A82515">
        <w:t>disability</w:t>
      </w:r>
      <w:proofErr w:type="gramEnd"/>
      <w:r w:rsidRPr="00A82515">
        <w:t xml:space="preserve"> and ethnicity was raised by stakeholders as a key gap in health </w:t>
      </w:r>
      <w:r>
        <w:t>systems</w:t>
      </w:r>
      <w:r w:rsidRPr="00A82515">
        <w:t xml:space="preserve">, rendering some groups </w:t>
      </w:r>
      <w:r w:rsidR="007D3A4B">
        <w:t>less visible</w:t>
      </w:r>
      <w:r w:rsidR="007D3A4B" w:rsidRPr="00A82515">
        <w:t xml:space="preserve"> </w:t>
      </w:r>
      <w:r w:rsidRPr="00A82515">
        <w:t>in policy development and resource allocation. Access to information and services were highlighted as critical barriers for programs to address</w:t>
      </w:r>
      <w:r>
        <w:t xml:space="preserve">, </w:t>
      </w:r>
      <w:r w:rsidRPr="00A82515">
        <w:t xml:space="preserve">as was supporting the engagement of diverse groups including women and people with disabilities, in informing policy and decision making. </w:t>
      </w:r>
    </w:p>
    <w:p w14:paraId="2014E634" w14:textId="6B4558ED" w:rsidR="00D57C72" w:rsidRPr="00A82515" w:rsidRDefault="00D57C72" w:rsidP="00D57C72">
      <w:r w:rsidRPr="00A82515">
        <w:t>Stakeholders encouraged attention to capacity building</w:t>
      </w:r>
      <w:r>
        <w:t xml:space="preserve"> of stakeholders </w:t>
      </w:r>
      <w:r w:rsidRPr="00A82515">
        <w:t>and invest</w:t>
      </w:r>
      <w:r>
        <w:t>ment</w:t>
      </w:r>
      <w:r w:rsidRPr="00A82515">
        <w:t xml:space="preserve"> in women in leadership. </w:t>
      </w:r>
      <w:r>
        <w:t xml:space="preserve">Engaging </w:t>
      </w:r>
      <w:r w:rsidRPr="00A82515">
        <w:t xml:space="preserve">organisations of people with disabilities and women’s rights organisations from the inception of programming was strongly encouraged, particularly to support community engagement efforts, accessible communications and improving reach, </w:t>
      </w:r>
      <w:proofErr w:type="gramStart"/>
      <w:r w:rsidRPr="00A82515">
        <w:t>access</w:t>
      </w:r>
      <w:proofErr w:type="gramEnd"/>
      <w:r w:rsidRPr="00A82515">
        <w:t xml:space="preserve"> and inclusion of those at risk of being left behind. Attention was also drawn to the need to strengthen health services recognised as critical to progressing gender equality</w:t>
      </w:r>
      <w:r>
        <w:t>,</w:t>
      </w:r>
      <w:r w:rsidRPr="00A82515">
        <w:t xml:space="preserve"> including </w:t>
      </w:r>
      <w:r w:rsidR="007D3A4B">
        <w:t xml:space="preserve">sexual and reproductive health </w:t>
      </w:r>
      <w:r w:rsidRPr="00A82515">
        <w:t>services, and to</w:t>
      </w:r>
      <w:r>
        <w:t xml:space="preserve"> support continuation of</w:t>
      </w:r>
      <w:r w:rsidRPr="00A82515">
        <w:t xml:space="preserve"> </w:t>
      </w:r>
      <w:r>
        <w:t>these</w:t>
      </w:r>
      <w:r w:rsidRPr="00A82515">
        <w:t xml:space="preserve"> services in times of health emergencies.</w:t>
      </w:r>
    </w:p>
    <w:p w14:paraId="5CD025EA" w14:textId="77777777" w:rsidR="00D57C72" w:rsidRPr="00A82515" w:rsidRDefault="00D57C72" w:rsidP="00D57C72">
      <w:r w:rsidRPr="00A82515">
        <w:t xml:space="preserve">Stakeholders considered there to be a strong foundation and opportunity for reciprocal sharing of knowledge and learning on health from the Australian First Nations context into </w:t>
      </w:r>
      <w:r>
        <w:t>and within</w:t>
      </w:r>
      <w:r w:rsidRPr="00A82515">
        <w:t xml:space="preserve"> region.</w:t>
      </w:r>
      <w:r>
        <w:t xml:space="preserve"> The s</w:t>
      </w:r>
      <w:r w:rsidRPr="00A82515">
        <w:t xml:space="preserve">hared value placed on the environment and its influence on health, the centrality of culture and community to wellbeing, the role of traditional knowledge systems and the experience of reaching hard-to-reach populations </w:t>
      </w:r>
      <w:r>
        <w:t>(</w:t>
      </w:r>
      <w:r w:rsidRPr="00A82515">
        <w:t xml:space="preserve">including in regional and remote </w:t>
      </w:r>
      <w:r>
        <w:t>locations) were</w:t>
      </w:r>
      <w:r w:rsidRPr="00A82515">
        <w:t xml:space="preserve"> highlighted </w:t>
      </w:r>
      <w:r>
        <w:t xml:space="preserve">as </w:t>
      </w:r>
      <w:r w:rsidRPr="00A82515">
        <w:t>opportunit</w:t>
      </w:r>
      <w:r>
        <w:t>ies</w:t>
      </w:r>
      <w:r w:rsidRPr="00A82515">
        <w:t xml:space="preserve"> for knowledge transfer and learning. </w:t>
      </w:r>
      <w:r>
        <w:t xml:space="preserve">Other experience within the Australian Indigenous health sector noted as transferable or shareable with the region included: </w:t>
      </w:r>
      <w:r w:rsidRPr="00A82515">
        <w:t xml:space="preserve">community-controlled health programs; principles of community engagement, local </w:t>
      </w:r>
      <w:proofErr w:type="gramStart"/>
      <w:r w:rsidRPr="00A82515">
        <w:t>leadership</w:t>
      </w:r>
      <w:proofErr w:type="gramEnd"/>
      <w:r w:rsidRPr="00A82515">
        <w:t xml:space="preserve"> and self-determination; and the </w:t>
      </w:r>
      <w:r>
        <w:t>cross-</w:t>
      </w:r>
      <w:r w:rsidRPr="00A82515">
        <w:t xml:space="preserve">cultural experience and skills of First Nations Peoples. </w:t>
      </w:r>
    </w:p>
    <w:p w14:paraId="384B77B9" w14:textId="6545F93C" w:rsidR="00D57C72" w:rsidRPr="00A82515" w:rsidRDefault="00D57C72" w:rsidP="00D57C72">
      <w:r>
        <w:t>Stakeholders reinforced the</w:t>
      </w:r>
      <w:r w:rsidRPr="00A82515">
        <w:t xml:space="preserve"> </w:t>
      </w:r>
      <w:r>
        <w:t xml:space="preserve">critical nature of </w:t>
      </w:r>
      <w:r w:rsidRPr="00A82515">
        <w:t xml:space="preserve">embedding </w:t>
      </w:r>
      <w:r>
        <w:t>technical support</w:t>
      </w:r>
      <w:r w:rsidRPr="00A82515">
        <w:t xml:space="preserve"> on </w:t>
      </w:r>
      <w:r>
        <w:t>GEDSI</w:t>
      </w:r>
      <w:r w:rsidRPr="00A82515">
        <w:t xml:space="preserve"> and First Nations</w:t>
      </w:r>
      <w:r w:rsidR="005A3B31">
        <w:t xml:space="preserve"> into future programming</w:t>
      </w:r>
      <w:r>
        <w:t xml:space="preserve">, and recommended </w:t>
      </w:r>
      <w:r w:rsidRPr="00A82515">
        <w:t xml:space="preserve">embedding expertise into </w:t>
      </w:r>
      <w:r w:rsidRPr="00A82515">
        <w:lastRenderedPageBreak/>
        <w:t>advisory functions</w:t>
      </w:r>
      <w:r>
        <w:t xml:space="preserve"> </w:t>
      </w:r>
      <w:r w:rsidRPr="00A82515">
        <w:t xml:space="preserve">to support program implementation. There was further recognition of the value in sharing lessons learned and good practice </w:t>
      </w:r>
      <w:r w:rsidR="001F6C6E">
        <w:t xml:space="preserve">to </w:t>
      </w:r>
      <w:r w:rsidRPr="00A82515">
        <w:t xml:space="preserve">support </w:t>
      </w:r>
      <w:r w:rsidR="001F6C6E">
        <w:t>progress and</w:t>
      </w:r>
      <w:r w:rsidRPr="00A82515">
        <w:t xml:space="preserve"> outcomes</w:t>
      </w:r>
      <w:r w:rsidR="00E268C3">
        <w:t xml:space="preserve"> on GEDSI and First Nations engagement in the health sector</w:t>
      </w:r>
      <w:r w:rsidRPr="00A82515">
        <w:t xml:space="preserve">. </w:t>
      </w:r>
    </w:p>
    <w:p w14:paraId="423CB565" w14:textId="77777777" w:rsidR="00D57C72" w:rsidRPr="00F738F7" w:rsidRDefault="00D57C72" w:rsidP="00D57C72">
      <w:pPr>
        <w:pStyle w:val="Heading3"/>
        <w:rPr>
          <w:i/>
          <w:iCs/>
          <w:lang w:val="en-GB"/>
        </w:rPr>
      </w:pPr>
      <w:r w:rsidRPr="00F738F7">
        <w:rPr>
          <w:lang w:val="en-GB"/>
        </w:rPr>
        <w:t>Collaboration and Partnership Approaches</w:t>
      </w:r>
    </w:p>
    <w:p w14:paraId="2E07BE95" w14:textId="77777777" w:rsidR="00D57C72" w:rsidRPr="00A82515" w:rsidRDefault="00D57C72" w:rsidP="00D57C72">
      <w:r w:rsidRPr="00A82515">
        <w:t xml:space="preserve">Discussions highlighted the importance of </w:t>
      </w:r>
      <w:r>
        <w:t>collaboration</w:t>
      </w:r>
      <w:r w:rsidRPr="00A82515">
        <w:t xml:space="preserve"> on health between countries in the region. Ensuring the capacities built during the pandemic are not lost and </w:t>
      </w:r>
      <w:r>
        <w:t xml:space="preserve">supporting </w:t>
      </w:r>
      <w:r w:rsidRPr="00A82515">
        <w:t xml:space="preserve">a networked approach to knowledge sharing and mentoring was seen as critical. </w:t>
      </w:r>
    </w:p>
    <w:p w14:paraId="7A271A44" w14:textId="252B2AB9" w:rsidR="00D57C72" w:rsidRDefault="00D57C72" w:rsidP="00D57C72">
      <w:r w:rsidRPr="00A82515">
        <w:t xml:space="preserve">Greater collaboration and stronger networks between </w:t>
      </w:r>
      <w:r>
        <w:t>investment delivery partners</w:t>
      </w:r>
      <w:r w:rsidRPr="00A82515">
        <w:t xml:space="preserve"> was also seen as important. Many of the organisations working on health that took part in consultations expressed a keen interest in developing greater links with one another</w:t>
      </w:r>
      <w:r>
        <w:t xml:space="preserve">. </w:t>
      </w:r>
      <w:r w:rsidRPr="00A82515">
        <w:t xml:space="preserve">Better coordination and communication </w:t>
      </w:r>
      <w:r>
        <w:t xml:space="preserve">between partners were suggested as being important in limiting duplication, </w:t>
      </w:r>
      <w:r w:rsidRPr="00A82515">
        <w:t>reduc</w:t>
      </w:r>
      <w:r>
        <w:t>ing</w:t>
      </w:r>
      <w:r w:rsidRPr="00A82515">
        <w:t xml:space="preserve"> inefficiencies</w:t>
      </w:r>
      <w:r>
        <w:t xml:space="preserve"> and maximising investments – with</w:t>
      </w:r>
      <w:r w:rsidR="00751105">
        <w:t xml:space="preserve"> </w:t>
      </w:r>
      <w:proofErr w:type="gramStart"/>
      <w:r w:rsidR="00751105">
        <w:t>the</w:t>
      </w:r>
      <w:r>
        <w:t xml:space="preserve"> </w:t>
      </w:r>
      <w:r w:rsidR="00AC67C3">
        <w:t xml:space="preserve"> </w:t>
      </w:r>
      <w:r>
        <w:t>partner</w:t>
      </w:r>
      <w:proofErr w:type="gramEnd"/>
      <w:r>
        <w:t xml:space="preserve"> forums </w:t>
      </w:r>
      <w:r w:rsidR="00751105">
        <w:t xml:space="preserve">supported by DFAT’s Health Security Initiative (2017-2022) </w:t>
      </w:r>
      <w:r>
        <w:t xml:space="preserve">highlighted as </w:t>
      </w:r>
      <w:r w:rsidR="00751105">
        <w:t xml:space="preserve">a </w:t>
      </w:r>
      <w:r>
        <w:t xml:space="preserve">positive example that supported these linkages. </w:t>
      </w:r>
    </w:p>
    <w:p w14:paraId="739DC54F" w14:textId="30C6A9B9" w:rsidR="00645450" w:rsidRPr="00D57C72" w:rsidRDefault="00D57C72" w:rsidP="00E04982">
      <w:r>
        <w:t>While</w:t>
      </w:r>
      <w:r w:rsidRPr="00A82515">
        <w:t xml:space="preserve"> expertise of Australian institutions </w:t>
      </w:r>
      <w:r>
        <w:t>and deployment of health specialists was valued by partner countries during HSI and the pandemics, stakeholders encouraged a focus on</w:t>
      </w:r>
      <w:r w:rsidRPr="00A82515">
        <w:t xml:space="preserve"> longer term capability in-country and reduce</w:t>
      </w:r>
      <w:r>
        <w:t>d</w:t>
      </w:r>
      <w:r w:rsidRPr="00A82515">
        <w:t xml:space="preserve"> reliance on ‘fly-in-fly-out' models.</w:t>
      </w:r>
      <w:bookmarkEnd w:id="0"/>
      <w:bookmarkEnd w:id="1"/>
    </w:p>
    <w:sectPr w:rsidR="00645450" w:rsidRPr="00D57C72" w:rsidSect="003D27BB">
      <w:headerReference w:type="default" r:id="rId11"/>
      <w:footerReference w:type="default" r:id="rId12"/>
      <w:headerReference w:type="first" r:id="rId13"/>
      <w:pgSz w:w="11906" w:h="16838"/>
      <w:pgMar w:top="1418" w:right="1440" w:bottom="1440"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0DDF" w14:textId="77777777" w:rsidR="00F2777E" w:rsidRDefault="00F2777E" w:rsidP="004B2341">
      <w:r>
        <w:separator/>
      </w:r>
    </w:p>
    <w:p w14:paraId="070B1F6C" w14:textId="77777777" w:rsidR="00F2777E" w:rsidRDefault="00F2777E"/>
  </w:endnote>
  <w:endnote w:type="continuationSeparator" w:id="0">
    <w:p w14:paraId="1DBF1E0F" w14:textId="77777777" w:rsidR="00F2777E" w:rsidRDefault="00F2777E" w:rsidP="004B2341">
      <w:r>
        <w:continuationSeparator/>
      </w:r>
    </w:p>
    <w:p w14:paraId="47F0DBB2" w14:textId="77777777" w:rsidR="00F2777E" w:rsidRDefault="00F2777E"/>
  </w:endnote>
  <w:endnote w:type="continuationNotice" w:id="1">
    <w:p w14:paraId="0C1625EA" w14:textId="77777777" w:rsidR="00F2777E" w:rsidRDefault="00F2777E">
      <w:pPr>
        <w:spacing w:before="0" w:after="0"/>
      </w:pPr>
    </w:p>
    <w:p w14:paraId="48B937E2" w14:textId="77777777" w:rsidR="00F2777E" w:rsidRDefault="00F27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80857"/>
      <w:docPartObj>
        <w:docPartGallery w:val="Page Numbers (Bottom of Page)"/>
        <w:docPartUnique/>
      </w:docPartObj>
    </w:sdtPr>
    <w:sdtEndPr>
      <w:rPr>
        <w:noProof/>
      </w:rPr>
    </w:sdtEndPr>
    <w:sdtContent>
      <w:p w14:paraId="160322FB" w14:textId="05327287" w:rsidR="00172F8A" w:rsidRDefault="00172F8A" w:rsidP="007D0FF1">
        <w:pPr>
          <w:pStyle w:val="PageNumbers"/>
        </w:pPr>
        <w:r>
          <w:rPr>
            <w:noProof/>
          </w:rPr>
          <w:drawing>
            <wp:anchor distT="0" distB="0" distL="114300" distR="114300" simplePos="0" relativeHeight="251666432" behindDoc="1" locked="0" layoutInCell="1" allowOverlap="1" wp14:anchorId="65FE8241" wp14:editId="2D256558">
              <wp:simplePos x="0" y="0"/>
              <wp:positionH relativeFrom="column">
                <wp:posOffset>-533400</wp:posOffset>
              </wp:positionH>
              <wp:positionV relativeFrom="paragraph">
                <wp:posOffset>-226695</wp:posOffset>
              </wp:positionV>
              <wp:extent cx="6864350" cy="520065"/>
              <wp:effectExtent l="0" t="0" r="0" b="0"/>
              <wp:wrapNone/>
              <wp:docPr id="398" name="Picture 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Picture 39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611" t="9050" r="3809" b="19630"/>
                      <a:stretch/>
                    </pic:blipFill>
                    <pic:spPr bwMode="auto">
                      <a:xfrm>
                        <a:off x="0" y="0"/>
                        <a:ext cx="6878486" cy="5211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31E7" w14:textId="77777777" w:rsidR="00F2777E" w:rsidRDefault="00F2777E" w:rsidP="004B2341">
      <w:r>
        <w:separator/>
      </w:r>
    </w:p>
  </w:footnote>
  <w:footnote w:type="continuationSeparator" w:id="0">
    <w:p w14:paraId="28CCDAAA" w14:textId="77777777" w:rsidR="00F2777E" w:rsidRDefault="00F2777E" w:rsidP="004B2341">
      <w:r>
        <w:continuationSeparator/>
      </w:r>
    </w:p>
    <w:p w14:paraId="55ED8705" w14:textId="77777777" w:rsidR="00F2777E" w:rsidRDefault="00F2777E"/>
  </w:footnote>
  <w:footnote w:type="continuationNotice" w:id="1">
    <w:p w14:paraId="025542EE" w14:textId="77777777" w:rsidR="00F2777E" w:rsidRDefault="00F2777E">
      <w:pPr>
        <w:spacing w:before="0" w:after="0"/>
      </w:pPr>
    </w:p>
    <w:p w14:paraId="1BF55372" w14:textId="77777777" w:rsidR="00F2777E" w:rsidRDefault="00F27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2D6F" w14:textId="7D901961" w:rsidR="0043585D" w:rsidRPr="009B1FC8" w:rsidRDefault="00BB5FDA" w:rsidP="0043585D">
    <w:pPr>
      <w:pStyle w:val="SecurityClassification"/>
      <w:jc w:val="left"/>
    </w:pPr>
    <w:r>
      <w:rPr>
        <w:noProof/>
      </w:rPr>
      <w:drawing>
        <wp:anchor distT="0" distB="0" distL="114300" distR="114300" simplePos="0" relativeHeight="251664384" behindDoc="1" locked="0" layoutInCell="1" allowOverlap="1" wp14:anchorId="1F2519F6" wp14:editId="3BC91B34">
          <wp:simplePos x="0" y="0"/>
          <wp:positionH relativeFrom="margin">
            <wp:posOffset>-534572</wp:posOffset>
          </wp:positionH>
          <wp:positionV relativeFrom="paragraph">
            <wp:posOffset>-233436</wp:posOffset>
          </wp:positionV>
          <wp:extent cx="6817282" cy="683895"/>
          <wp:effectExtent l="0" t="0" r="317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9288" r="4771" b="17767"/>
                  <a:stretch/>
                </pic:blipFill>
                <pic:spPr bwMode="auto">
                  <a:xfrm>
                    <a:off x="0" y="0"/>
                    <a:ext cx="6842442" cy="686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23BF" w14:textId="5ADE558A" w:rsidR="00462591" w:rsidRPr="009B1FC8" w:rsidRDefault="00462591" w:rsidP="00462591">
    <w:pPr>
      <w:pStyle w:val="SecurityClassification"/>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726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0EF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86C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E9E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4E6B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5E8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051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581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BE8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DE5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3FC2"/>
    <w:multiLevelType w:val="hybridMultilevel"/>
    <w:tmpl w:val="6BD67B1E"/>
    <w:lvl w:ilvl="0" w:tplc="D39810F2">
      <w:start w:val="1"/>
      <w:numFmt w:val="bullet"/>
      <w:lvlText w:val="•"/>
      <w:lvlJc w:val="left"/>
      <w:pPr>
        <w:tabs>
          <w:tab w:val="num" w:pos="720"/>
        </w:tabs>
        <w:ind w:left="720" w:hanging="360"/>
      </w:pPr>
      <w:rPr>
        <w:rFonts w:ascii="Times New Roman" w:hAnsi="Times New Roman" w:hint="default"/>
      </w:rPr>
    </w:lvl>
    <w:lvl w:ilvl="1" w:tplc="878CA4A8" w:tentative="1">
      <w:start w:val="1"/>
      <w:numFmt w:val="bullet"/>
      <w:lvlText w:val="•"/>
      <w:lvlJc w:val="left"/>
      <w:pPr>
        <w:tabs>
          <w:tab w:val="num" w:pos="1440"/>
        </w:tabs>
        <w:ind w:left="1440" w:hanging="360"/>
      </w:pPr>
      <w:rPr>
        <w:rFonts w:ascii="Times New Roman" w:hAnsi="Times New Roman" w:hint="default"/>
      </w:rPr>
    </w:lvl>
    <w:lvl w:ilvl="2" w:tplc="35EE35A8" w:tentative="1">
      <w:start w:val="1"/>
      <w:numFmt w:val="bullet"/>
      <w:lvlText w:val="•"/>
      <w:lvlJc w:val="left"/>
      <w:pPr>
        <w:tabs>
          <w:tab w:val="num" w:pos="2160"/>
        </w:tabs>
        <w:ind w:left="2160" w:hanging="360"/>
      </w:pPr>
      <w:rPr>
        <w:rFonts w:ascii="Times New Roman" w:hAnsi="Times New Roman" w:hint="default"/>
      </w:rPr>
    </w:lvl>
    <w:lvl w:ilvl="3" w:tplc="E622622E" w:tentative="1">
      <w:start w:val="1"/>
      <w:numFmt w:val="bullet"/>
      <w:lvlText w:val="•"/>
      <w:lvlJc w:val="left"/>
      <w:pPr>
        <w:tabs>
          <w:tab w:val="num" w:pos="2880"/>
        </w:tabs>
        <w:ind w:left="2880" w:hanging="360"/>
      </w:pPr>
      <w:rPr>
        <w:rFonts w:ascii="Times New Roman" w:hAnsi="Times New Roman" w:hint="default"/>
      </w:rPr>
    </w:lvl>
    <w:lvl w:ilvl="4" w:tplc="D332DD24" w:tentative="1">
      <w:start w:val="1"/>
      <w:numFmt w:val="bullet"/>
      <w:lvlText w:val="•"/>
      <w:lvlJc w:val="left"/>
      <w:pPr>
        <w:tabs>
          <w:tab w:val="num" w:pos="3600"/>
        </w:tabs>
        <w:ind w:left="3600" w:hanging="360"/>
      </w:pPr>
      <w:rPr>
        <w:rFonts w:ascii="Times New Roman" w:hAnsi="Times New Roman" w:hint="default"/>
      </w:rPr>
    </w:lvl>
    <w:lvl w:ilvl="5" w:tplc="6DEA154C" w:tentative="1">
      <w:start w:val="1"/>
      <w:numFmt w:val="bullet"/>
      <w:lvlText w:val="•"/>
      <w:lvlJc w:val="left"/>
      <w:pPr>
        <w:tabs>
          <w:tab w:val="num" w:pos="4320"/>
        </w:tabs>
        <w:ind w:left="4320" w:hanging="360"/>
      </w:pPr>
      <w:rPr>
        <w:rFonts w:ascii="Times New Roman" w:hAnsi="Times New Roman" w:hint="default"/>
      </w:rPr>
    </w:lvl>
    <w:lvl w:ilvl="6" w:tplc="57085C32" w:tentative="1">
      <w:start w:val="1"/>
      <w:numFmt w:val="bullet"/>
      <w:lvlText w:val="•"/>
      <w:lvlJc w:val="left"/>
      <w:pPr>
        <w:tabs>
          <w:tab w:val="num" w:pos="5040"/>
        </w:tabs>
        <w:ind w:left="5040" w:hanging="360"/>
      </w:pPr>
      <w:rPr>
        <w:rFonts w:ascii="Times New Roman" w:hAnsi="Times New Roman" w:hint="default"/>
      </w:rPr>
    </w:lvl>
    <w:lvl w:ilvl="7" w:tplc="81C4B626" w:tentative="1">
      <w:start w:val="1"/>
      <w:numFmt w:val="bullet"/>
      <w:lvlText w:val="•"/>
      <w:lvlJc w:val="left"/>
      <w:pPr>
        <w:tabs>
          <w:tab w:val="num" w:pos="5760"/>
        </w:tabs>
        <w:ind w:left="5760" w:hanging="360"/>
      </w:pPr>
      <w:rPr>
        <w:rFonts w:ascii="Times New Roman" w:hAnsi="Times New Roman" w:hint="default"/>
      </w:rPr>
    </w:lvl>
    <w:lvl w:ilvl="8" w:tplc="428441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69A6F60"/>
    <w:multiLevelType w:val="hybridMultilevel"/>
    <w:tmpl w:val="FE58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A24FB4"/>
    <w:multiLevelType w:val="hybridMultilevel"/>
    <w:tmpl w:val="D586225C"/>
    <w:lvl w:ilvl="0" w:tplc="6C5EF42E">
      <w:start w:val="1"/>
      <w:numFmt w:val="bullet"/>
      <w:lvlText w:val="•"/>
      <w:lvlJc w:val="left"/>
      <w:pPr>
        <w:tabs>
          <w:tab w:val="num" w:pos="720"/>
        </w:tabs>
        <w:ind w:left="720" w:hanging="360"/>
      </w:pPr>
      <w:rPr>
        <w:rFonts w:ascii="Times New Roman" w:hAnsi="Times New Roman" w:hint="default"/>
      </w:rPr>
    </w:lvl>
    <w:lvl w:ilvl="1" w:tplc="3858DB1C" w:tentative="1">
      <w:start w:val="1"/>
      <w:numFmt w:val="bullet"/>
      <w:lvlText w:val="•"/>
      <w:lvlJc w:val="left"/>
      <w:pPr>
        <w:tabs>
          <w:tab w:val="num" w:pos="1440"/>
        </w:tabs>
        <w:ind w:left="1440" w:hanging="360"/>
      </w:pPr>
      <w:rPr>
        <w:rFonts w:ascii="Times New Roman" w:hAnsi="Times New Roman" w:hint="default"/>
      </w:rPr>
    </w:lvl>
    <w:lvl w:ilvl="2" w:tplc="74100F02" w:tentative="1">
      <w:start w:val="1"/>
      <w:numFmt w:val="bullet"/>
      <w:lvlText w:val="•"/>
      <w:lvlJc w:val="left"/>
      <w:pPr>
        <w:tabs>
          <w:tab w:val="num" w:pos="2160"/>
        </w:tabs>
        <w:ind w:left="2160" w:hanging="360"/>
      </w:pPr>
      <w:rPr>
        <w:rFonts w:ascii="Times New Roman" w:hAnsi="Times New Roman" w:hint="default"/>
      </w:rPr>
    </w:lvl>
    <w:lvl w:ilvl="3" w:tplc="39C0DF84" w:tentative="1">
      <w:start w:val="1"/>
      <w:numFmt w:val="bullet"/>
      <w:lvlText w:val="•"/>
      <w:lvlJc w:val="left"/>
      <w:pPr>
        <w:tabs>
          <w:tab w:val="num" w:pos="2880"/>
        </w:tabs>
        <w:ind w:left="2880" w:hanging="360"/>
      </w:pPr>
      <w:rPr>
        <w:rFonts w:ascii="Times New Roman" w:hAnsi="Times New Roman" w:hint="default"/>
      </w:rPr>
    </w:lvl>
    <w:lvl w:ilvl="4" w:tplc="44EEDEA8" w:tentative="1">
      <w:start w:val="1"/>
      <w:numFmt w:val="bullet"/>
      <w:lvlText w:val="•"/>
      <w:lvlJc w:val="left"/>
      <w:pPr>
        <w:tabs>
          <w:tab w:val="num" w:pos="3600"/>
        </w:tabs>
        <w:ind w:left="3600" w:hanging="360"/>
      </w:pPr>
      <w:rPr>
        <w:rFonts w:ascii="Times New Roman" w:hAnsi="Times New Roman" w:hint="default"/>
      </w:rPr>
    </w:lvl>
    <w:lvl w:ilvl="5" w:tplc="7284AD4C" w:tentative="1">
      <w:start w:val="1"/>
      <w:numFmt w:val="bullet"/>
      <w:lvlText w:val="•"/>
      <w:lvlJc w:val="left"/>
      <w:pPr>
        <w:tabs>
          <w:tab w:val="num" w:pos="4320"/>
        </w:tabs>
        <w:ind w:left="4320" w:hanging="360"/>
      </w:pPr>
      <w:rPr>
        <w:rFonts w:ascii="Times New Roman" w:hAnsi="Times New Roman" w:hint="default"/>
      </w:rPr>
    </w:lvl>
    <w:lvl w:ilvl="6" w:tplc="AAB45992" w:tentative="1">
      <w:start w:val="1"/>
      <w:numFmt w:val="bullet"/>
      <w:lvlText w:val="•"/>
      <w:lvlJc w:val="left"/>
      <w:pPr>
        <w:tabs>
          <w:tab w:val="num" w:pos="5040"/>
        </w:tabs>
        <w:ind w:left="5040" w:hanging="360"/>
      </w:pPr>
      <w:rPr>
        <w:rFonts w:ascii="Times New Roman" w:hAnsi="Times New Roman" w:hint="default"/>
      </w:rPr>
    </w:lvl>
    <w:lvl w:ilvl="7" w:tplc="C7489FDE" w:tentative="1">
      <w:start w:val="1"/>
      <w:numFmt w:val="bullet"/>
      <w:lvlText w:val="•"/>
      <w:lvlJc w:val="left"/>
      <w:pPr>
        <w:tabs>
          <w:tab w:val="num" w:pos="5760"/>
        </w:tabs>
        <w:ind w:left="5760" w:hanging="360"/>
      </w:pPr>
      <w:rPr>
        <w:rFonts w:ascii="Times New Roman" w:hAnsi="Times New Roman" w:hint="default"/>
      </w:rPr>
    </w:lvl>
    <w:lvl w:ilvl="8" w:tplc="93E8B9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8A54AAD"/>
    <w:multiLevelType w:val="hybridMultilevel"/>
    <w:tmpl w:val="0EC857E2"/>
    <w:lvl w:ilvl="0" w:tplc="08CE0F04">
      <w:start w:val="1"/>
      <w:numFmt w:val="bullet"/>
      <w:lvlText w:val="•"/>
      <w:lvlJc w:val="left"/>
      <w:pPr>
        <w:tabs>
          <w:tab w:val="num" w:pos="720"/>
        </w:tabs>
        <w:ind w:left="720" w:hanging="360"/>
      </w:pPr>
      <w:rPr>
        <w:rFonts w:ascii="Times New Roman" w:hAnsi="Times New Roman" w:hint="default"/>
      </w:rPr>
    </w:lvl>
    <w:lvl w:ilvl="1" w:tplc="7D4E9950" w:tentative="1">
      <w:start w:val="1"/>
      <w:numFmt w:val="bullet"/>
      <w:lvlText w:val="•"/>
      <w:lvlJc w:val="left"/>
      <w:pPr>
        <w:tabs>
          <w:tab w:val="num" w:pos="1440"/>
        </w:tabs>
        <w:ind w:left="1440" w:hanging="360"/>
      </w:pPr>
      <w:rPr>
        <w:rFonts w:ascii="Times New Roman" w:hAnsi="Times New Roman" w:hint="default"/>
      </w:rPr>
    </w:lvl>
    <w:lvl w:ilvl="2" w:tplc="25769946" w:tentative="1">
      <w:start w:val="1"/>
      <w:numFmt w:val="bullet"/>
      <w:lvlText w:val="•"/>
      <w:lvlJc w:val="left"/>
      <w:pPr>
        <w:tabs>
          <w:tab w:val="num" w:pos="2160"/>
        </w:tabs>
        <w:ind w:left="2160" w:hanging="360"/>
      </w:pPr>
      <w:rPr>
        <w:rFonts w:ascii="Times New Roman" w:hAnsi="Times New Roman" w:hint="default"/>
      </w:rPr>
    </w:lvl>
    <w:lvl w:ilvl="3" w:tplc="830A974C" w:tentative="1">
      <w:start w:val="1"/>
      <w:numFmt w:val="bullet"/>
      <w:lvlText w:val="•"/>
      <w:lvlJc w:val="left"/>
      <w:pPr>
        <w:tabs>
          <w:tab w:val="num" w:pos="2880"/>
        </w:tabs>
        <w:ind w:left="2880" w:hanging="360"/>
      </w:pPr>
      <w:rPr>
        <w:rFonts w:ascii="Times New Roman" w:hAnsi="Times New Roman" w:hint="default"/>
      </w:rPr>
    </w:lvl>
    <w:lvl w:ilvl="4" w:tplc="D144C75E" w:tentative="1">
      <w:start w:val="1"/>
      <w:numFmt w:val="bullet"/>
      <w:lvlText w:val="•"/>
      <w:lvlJc w:val="left"/>
      <w:pPr>
        <w:tabs>
          <w:tab w:val="num" w:pos="3600"/>
        </w:tabs>
        <w:ind w:left="3600" w:hanging="360"/>
      </w:pPr>
      <w:rPr>
        <w:rFonts w:ascii="Times New Roman" w:hAnsi="Times New Roman" w:hint="default"/>
      </w:rPr>
    </w:lvl>
    <w:lvl w:ilvl="5" w:tplc="EF36873C" w:tentative="1">
      <w:start w:val="1"/>
      <w:numFmt w:val="bullet"/>
      <w:lvlText w:val="•"/>
      <w:lvlJc w:val="left"/>
      <w:pPr>
        <w:tabs>
          <w:tab w:val="num" w:pos="4320"/>
        </w:tabs>
        <w:ind w:left="4320" w:hanging="360"/>
      </w:pPr>
      <w:rPr>
        <w:rFonts w:ascii="Times New Roman" w:hAnsi="Times New Roman" w:hint="default"/>
      </w:rPr>
    </w:lvl>
    <w:lvl w:ilvl="6" w:tplc="91665BD4" w:tentative="1">
      <w:start w:val="1"/>
      <w:numFmt w:val="bullet"/>
      <w:lvlText w:val="•"/>
      <w:lvlJc w:val="left"/>
      <w:pPr>
        <w:tabs>
          <w:tab w:val="num" w:pos="5040"/>
        </w:tabs>
        <w:ind w:left="5040" w:hanging="360"/>
      </w:pPr>
      <w:rPr>
        <w:rFonts w:ascii="Times New Roman" w:hAnsi="Times New Roman" w:hint="default"/>
      </w:rPr>
    </w:lvl>
    <w:lvl w:ilvl="7" w:tplc="32C4FCAC" w:tentative="1">
      <w:start w:val="1"/>
      <w:numFmt w:val="bullet"/>
      <w:lvlText w:val="•"/>
      <w:lvlJc w:val="left"/>
      <w:pPr>
        <w:tabs>
          <w:tab w:val="num" w:pos="5760"/>
        </w:tabs>
        <w:ind w:left="5760" w:hanging="360"/>
      </w:pPr>
      <w:rPr>
        <w:rFonts w:ascii="Times New Roman" w:hAnsi="Times New Roman" w:hint="default"/>
      </w:rPr>
    </w:lvl>
    <w:lvl w:ilvl="8" w:tplc="DF2A120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33B7A4E"/>
    <w:multiLevelType w:val="hybridMultilevel"/>
    <w:tmpl w:val="B9F816C2"/>
    <w:lvl w:ilvl="0" w:tplc="51966726">
      <w:start w:val="1"/>
      <w:numFmt w:val="bullet"/>
      <w:lvlText w:val="•"/>
      <w:lvlJc w:val="left"/>
      <w:pPr>
        <w:tabs>
          <w:tab w:val="num" w:pos="720"/>
        </w:tabs>
        <w:ind w:left="720" w:hanging="360"/>
      </w:pPr>
      <w:rPr>
        <w:rFonts w:ascii="Times New Roman" w:hAnsi="Times New Roman" w:hint="default"/>
      </w:rPr>
    </w:lvl>
    <w:lvl w:ilvl="1" w:tplc="AB9065E2" w:tentative="1">
      <w:start w:val="1"/>
      <w:numFmt w:val="bullet"/>
      <w:lvlText w:val="•"/>
      <w:lvlJc w:val="left"/>
      <w:pPr>
        <w:tabs>
          <w:tab w:val="num" w:pos="1440"/>
        </w:tabs>
        <w:ind w:left="1440" w:hanging="360"/>
      </w:pPr>
      <w:rPr>
        <w:rFonts w:ascii="Times New Roman" w:hAnsi="Times New Roman" w:hint="default"/>
      </w:rPr>
    </w:lvl>
    <w:lvl w:ilvl="2" w:tplc="190E712A" w:tentative="1">
      <w:start w:val="1"/>
      <w:numFmt w:val="bullet"/>
      <w:lvlText w:val="•"/>
      <w:lvlJc w:val="left"/>
      <w:pPr>
        <w:tabs>
          <w:tab w:val="num" w:pos="2160"/>
        </w:tabs>
        <w:ind w:left="2160" w:hanging="360"/>
      </w:pPr>
      <w:rPr>
        <w:rFonts w:ascii="Times New Roman" w:hAnsi="Times New Roman" w:hint="default"/>
      </w:rPr>
    </w:lvl>
    <w:lvl w:ilvl="3" w:tplc="CEA888C6" w:tentative="1">
      <w:start w:val="1"/>
      <w:numFmt w:val="bullet"/>
      <w:lvlText w:val="•"/>
      <w:lvlJc w:val="left"/>
      <w:pPr>
        <w:tabs>
          <w:tab w:val="num" w:pos="2880"/>
        </w:tabs>
        <w:ind w:left="2880" w:hanging="360"/>
      </w:pPr>
      <w:rPr>
        <w:rFonts w:ascii="Times New Roman" w:hAnsi="Times New Roman" w:hint="default"/>
      </w:rPr>
    </w:lvl>
    <w:lvl w:ilvl="4" w:tplc="AA4A674C" w:tentative="1">
      <w:start w:val="1"/>
      <w:numFmt w:val="bullet"/>
      <w:lvlText w:val="•"/>
      <w:lvlJc w:val="left"/>
      <w:pPr>
        <w:tabs>
          <w:tab w:val="num" w:pos="3600"/>
        </w:tabs>
        <w:ind w:left="3600" w:hanging="360"/>
      </w:pPr>
      <w:rPr>
        <w:rFonts w:ascii="Times New Roman" w:hAnsi="Times New Roman" w:hint="default"/>
      </w:rPr>
    </w:lvl>
    <w:lvl w:ilvl="5" w:tplc="3F3C5B94" w:tentative="1">
      <w:start w:val="1"/>
      <w:numFmt w:val="bullet"/>
      <w:lvlText w:val="•"/>
      <w:lvlJc w:val="left"/>
      <w:pPr>
        <w:tabs>
          <w:tab w:val="num" w:pos="4320"/>
        </w:tabs>
        <w:ind w:left="4320" w:hanging="360"/>
      </w:pPr>
      <w:rPr>
        <w:rFonts w:ascii="Times New Roman" w:hAnsi="Times New Roman" w:hint="default"/>
      </w:rPr>
    </w:lvl>
    <w:lvl w:ilvl="6" w:tplc="9A22B3E2" w:tentative="1">
      <w:start w:val="1"/>
      <w:numFmt w:val="bullet"/>
      <w:lvlText w:val="•"/>
      <w:lvlJc w:val="left"/>
      <w:pPr>
        <w:tabs>
          <w:tab w:val="num" w:pos="5040"/>
        </w:tabs>
        <w:ind w:left="5040" w:hanging="360"/>
      </w:pPr>
      <w:rPr>
        <w:rFonts w:ascii="Times New Roman" w:hAnsi="Times New Roman" w:hint="default"/>
      </w:rPr>
    </w:lvl>
    <w:lvl w:ilvl="7" w:tplc="57B63782" w:tentative="1">
      <w:start w:val="1"/>
      <w:numFmt w:val="bullet"/>
      <w:lvlText w:val="•"/>
      <w:lvlJc w:val="left"/>
      <w:pPr>
        <w:tabs>
          <w:tab w:val="num" w:pos="5760"/>
        </w:tabs>
        <w:ind w:left="5760" w:hanging="360"/>
      </w:pPr>
      <w:rPr>
        <w:rFonts w:ascii="Times New Roman" w:hAnsi="Times New Roman" w:hint="default"/>
      </w:rPr>
    </w:lvl>
    <w:lvl w:ilvl="8" w:tplc="CD2454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A6377BA"/>
    <w:multiLevelType w:val="hybridMultilevel"/>
    <w:tmpl w:val="C0B2F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7263E"/>
    <w:multiLevelType w:val="hybridMultilevel"/>
    <w:tmpl w:val="C7DCDF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F3661DC"/>
    <w:multiLevelType w:val="hybridMultilevel"/>
    <w:tmpl w:val="DFC2A544"/>
    <w:lvl w:ilvl="0" w:tplc="947261CE">
      <w:start w:val="1"/>
      <w:numFmt w:val="bullet"/>
      <w:lvlText w:val="•"/>
      <w:lvlJc w:val="left"/>
      <w:pPr>
        <w:tabs>
          <w:tab w:val="num" w:pos="720"/>
        </w:tabs>
        <w:ind w:left="720" w:hanging="360"/>
      </w:pPr>
      <w:rPr>
        <w:rFonts w:ascii="Times New Roman" w:hAnsi="Times New Roman" w:hint="default"/>
      </w:rPr>
    </w:lvl>
    <w:lvl w:ilvl="1" w:tplc="B86EC566" w:tentative="1">
      <w:start w:val="1"/>
      <w:numFmt w:val="bullet"/>
      <w:lvlText w:val="•"/>
      <w:lvlJc w:val="left"/>
      <w:pPr>
        <w:tabs>
          <w:tab w:val="num" w:pos="1440"/>
        </w:tabs>
        <w:ind w:left="1440" w:hanging="360"/>
      </w:pPr>
      <w:rPr>
        <w:rFonts w:ascii="Times New Roman" w:hAnsi="Times New Roman" w:hint="default"/>
      </w:rPr>
    </w:lvl>
    <w:lvl w:ilvl="2" w:tplc="7F0A3D28" w:tentative="1">
      <w:start w:val="1"/>
      <w:numFmt w:val="bullet"/>
      <w:lvlText w:val="•"/>
      <w:lvlJc w:val="left"/>
      <w:pPr>
        <w:tabs>
          <w:tab w:val="num" w:pos="2160"/>
        </w:tabs>
        <w:ind w:left="2160" w:hanging="360"/>
      </w:pPr>
      <w:rPr>
        <w:rFonts w:ascii="Times New Roman" w:hAnsi="Times New Roman" w:hint="default"/>
      </w:rPr>
    </w:lvl>
    <w:lvl w:ilvl="3" w:tplc="8800CB6E" w:tentative="1">
      <w:start w:val="1"/>
      <w:numFmt w:val="bullet"/>
      <w:lvlText w:val="•"/>
      <w:lvlJc w:val="left"/>
      <w:pPr>
        <w:tabs>
          <w:tab w:val="num" w:pos="2880"/>
        </w:tabs>
        <w:ind w:left="2880" w:hanging="360"/>
      </w:pPr>
      <w:rPr>
        <w:rFonts w:ascii="Times New Roman" w:hAnsi="Times New Roman" w:hint="default"/>
      </w:rPr>
    </w:lvl>
    <w:lvl w:ilvl="4" w:tplc="E5B4CB0E" w:tentative="1">
      <w:start w:val="1"/>
      <w:numFmt w:val="bullet"/>
      <w:lvlText w:val="•"/>
      <w:lvlJc w:val="left"/>
      <w:pPr>
        <w:tabs>
          <w:tab w:val="num" w:pos="3600"/>
        </w:tabs>
        <w:ind w:left="3600" w:hanging="360"/>
      </w:pPr>
      <w:rPr>
        <w:rFonts w:ascii="Times New Roman" w:hAnsi="Times New Roman" w:hint="default"/>
      </w:rPr>
    </w:lvl>
    <w:lvl w:ilvl="5" w:tplc="4FD2A922" w:tentative="1">
      <w:start w:val="1"/>
      <w:numFmt w:val="bullet"/>
      <w:lvlText w:val="•"/>
      <w:lvlJc w:val="left"/>
      <w:pPr>
        <w:tabs>
          <w:tab w:val="num" w:pos="4320"/>
        </w:tabs>
        <w:ind w:left="4320" w:hanging="360"/>
      </w:pPr>
      <w:rPr>
        <w:rFonts w:ascii="Times New Roman" w:hAnsi="Times New Roman" w:hint="default"/>
      </w:rPr>
    </w:lvl>
    <w:lvl w:ilvl="6" w:tplc="1FCC3076" w:tentative="1">
      <w:start w:val="1"/>
      <w:numFmt w:val="bullet"/>
      <w:lvlText w:val="•"/>
      <w:lvlJc w:val="left"/>
      <w:pPr>
        <w:tabs>
          <w:tab w:val="num" w:pos="5040"/>
        </w:tabs>
        <w:ind w:left="5040" w:hanging="360"/>
      </w:pPr>
      <w:rPr>
        <w:rFonts w:ascii="Times New Roman" w:hAnsi="Times New Roman" w:hint="default"/>
      </w:rPr>
    </w:lvl>
    <w:lvl w:ilvl="7" w:tplc="9BAEFFFC" w:tentative="1">
      <w:start w:val="1"/>
      <w:numFmt w:val="bullet"/>
      <w:lvlText w:val="•"/>
      <w:lvlJc w:val="left"/>
      <w:pPr>
        <w:tabs>
          <w:tab w:val="num" w:pos="5760"/>
        </w:tabs>
        <w:ind w:left="5760" w:hanging="360"/>
      </w:pPr>
      <w:rPr>
        <w:rFonts w:ascii="Times New Roman" w:hAnsi="Times New Roman" w:hint="default"/>
      </w:rPr>
    </w:lvl>
    <w:lvl w:ilvl="8" w:tplc="002837D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4F8440A"/>
    <w:multiLevelType w:val="hybridMultilevel"/>
    <w:tmpl w:val="D2BE6728"/>
    <w:lvl w:ilvl="0" w:tplc="007E52A0">
      <w:start w:val="1"/>
      <w:numFmt w:val="bullet"/>
      <w:lvlText w:val="•"/>
      <w:lvlJc w:val="left"/>
      <w:pPr>
        <w:tabs>
          <w:tab w:val="num" w:pos="720"/>
        </w:tabs>
        <w:ind w:left="720" w:hanging="360"/>
      </w:pPr>
      <w:rPr>
        <w:rFonts w:ascii="Times New Roman" w:hAnsi="Times New Roman" w:hint="default"/>
      </w:rPr>
    </w:lvl>
    <w:lvl w:ilvl="1" w:tplc="5C220176" w:tentative="1">
      <w:start w:val="1"/>
      <w:numFmt w:val="bullet"/>
      <w:lvlText w:val="•"/>
      <w:lvlJc w:val="left"/>
      <w:pPr>
        <w:tabs>
          <w:tab w:val="num" w:pos="1440"/>
        </w:tabs>
        <w:ind w:left="1440" w:hanging="360"/>
      </w:pPr>
      <w:rPr>
        <w:rFonts w:ascii="Times New Roman" w:hAnsi="Times New Roman" w:hint="default"/>
      </w:rPr>
    </w:lvl>
    <w:lvl w:ilvl="2" w:tplc="6A1E7B24" w:tentative="1">
      <w:start w:val="1"/>
      <w:numFmt w:val="bullet"/>
      <w:lvlText w:val="•"/>
      <w:lvlJc w:val="left"/>
      <w:pPr>
        <w:tabs>
          <w:tab w:val="num" w:pos="2160"/>
        </w:tabs>
        <w:ind w:left="2160" w:hanging="360"/>
      </w:pPr>
      <w:rPr>
        <w:rFonts w:ascii="Times New Roman" w:hAnsi="Times New Roman" w:hint="default"/>
      </w:rPr>
    </w:lvl>
    <w:lvl w:ilvl="3" w:tplc="75861C74" w:tentative="1">
      <w:start w:val="1"/>
      <w:numFmt w:val="bullet"/>
      <w:lvlText w:val="•"/>
      <w:lvlJc w:val="left"/>
      <w:pPr>
        <w:tabs>
          <w:tab w:val="num" w:pos="2880"/>
        </w:tabs>
        <w:ind w:left="2880" w:hanging="360"/>
      </w:pPr>
      <w:rPr>
        <w:rFonts w:ascii="Times New Roman" w:hAnsi="Times New Roman" w:hint="default"/>
      </w:rPr>
    </w:lvl>
    <w:lvl w:ilvl="4" w:tplc="E3F495B8" w:tentative="1">
      <w:start w:val="1"/>
      <w:numFmt w:val="bullet"/>
      <w:lvlText w:val="•"/>
      <w:lvlJc w:val="left"/>
      <w:pPr>
        <w:tabs>
          <w:tab w:val="num" w:pos="3600"/>
        </w:tabs>
        <w:ind w:left="3600" w:hanging="360"/>
      </w:pPr>
      <w:rPr>
        <w:rFonts w:ascii="Times New Roman" w:hAnsi="Times New Roman" w:hint="default"/>
      </w:rPr>
    </w:lvl>
    <w:lvl w:ilvl="5" w:tplc="28C2EEA8" w:tentative="1">
      <w:start w:val="1"/>
      <w:numFmt w:val="bullet"/>
      <w:lvlText w:val="•"/>
      <w:lvlJc w:val="left"/>
      <w:pPr>
        <w:tabs>
          <w:tab w:val="num" w:pos="4320"/>
        </w:tabs>
        <w:ind w:left="4320" w:hanging="360"/>
      </w:pPr>
      <w:rPr>
        <w:rFonts w:ascii="Times New Roman" w:hAnsi="Times New Roman" w:hint="default"/>
      </w:rPr>
    </w:lvl>
    <w:lvl w:ilvl="6" w:tplc="4720275E" w:tentative="1">
      <w:start w:val="1"/>
      <w:numFmt w:val="bullet"/>
      <w:lvlText w:val="•"/>
      <w:lvlJc w:val="left"/>
      <w:pPr>
        <w:tabs>
          <w:tab w:val="num" w:pos="5040"/>
        </w:tabs>
        <w:ind w:left="5040" w:hanging="360"/>
      </w:pPr>
      <w:rPr>
        <w:rFonts w:ascii="Times New Roman" w:hAnsi="Times New Roman" w:hint="default"/>
      </w:rPr>
    </w:lvl>
    <w:lvl w:ilvl="7" w:tplc="A05EDABA" w:tentative="1">
      <w:start w:val="1"/>
      <w:numFmt w:val="bullet"/>
      <w:lvlText w:val="•"/>
      <w:lvlJc w:val="left"/>
      <w:pPr>
        <w:tabs>
          <w:tab w:val="num" w:pos="5760"/>
        </w:tabs>
        <w:ind w:left="5760" w:hanging="360"/>
      </w:pPr>
      <w:rPr>
        <w:rFonts w:ascii="Times New Roman" w:hAnsi="Times New Roman" w:hint="default"/>
      </w:rPr>
    </w:lvl>
    <w:lvl w:ilvl="8" w:tplc="C1961FB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3016D6"/>
    <w:multiLevelType w:val="hybridMultilevel"/>
    <w:tmpl w:val="A51CA620"/>
    <w:lvl w:ilvl="0" w:tplc="CAACA9DA">
      <w:start w:val="1"/>
      <w:numFmt w:val="bullet"/>
      <w:lvlText w:val="•"/>
      <w:lvlJc w:val="left"/>
      <w:pPr>
        <w:tabs>
          <w:tab w:val="num" w:pos="720"/>
        </w:tabs>
        <w:ind w:left="720" w:hanging="360"/>
      </w:pPr>
      <w:rPr>
        <w:rFonts w:ascii="Times New Roman" w:hAnsi="Times New Roman" w:hint="default"/>
      </w:rPr>
    </w:lvl>
    <w:lvl w:ilvl="1" w:tplc="AA82EF92" w:tentative="1">
      <w:start w:val="1"/>
      <w:numFmt w:val="bullet"/>
      <w:lvlText w:val="•"/>
      <w:lvlJc w:val="left"/>
      <w:pPr>
        <w:tabs>
          <w:tab w:val="num" w:pos="1440"/>
        </w:tabs>
        <w:ind w:left="1440" w:hanging="360"/>
      </w:pPr>
      <w:rPr>
        <w:rFonts w:ascii="Times New Roman" w:hAnsi="Times New Roman" w:hint="default"/>
      </w:rPr>
    </w:lvl>
    <w:lvl w:ilvl="2" w:tplc="64F69538" w:tentative="1">
      <w:start w:val="1"/>
      <w:numFmt w:val="bullet"/>
      <w:lvlText w:val="•"/>
      <w:lvlJc w:val="left"/>
      <w:pPr>
        <w:tabs>
          <w:tab w:val="num" w:pos="2160"/>
        </w:tabs>
        <w:ind w:left="2160" w:hanging="360"/>
      </w:pPr>
      <w:rPr>
        <w:rFonts w:ascii="Times New Roman" w:hAnsi="Times New Roman" w:hint="default"/>
      </w:rPr>
    </w:lvl>
    <w:lvl w:ilvl="3" w:tplc="0EC85C82" w:tentative="1">
      <w:start w:val="1"/>
      <w:numFmt w:val="bullet"/>
      <w:lvlText w:val="•"/>
      <w:lvlJc w:val="left"/>
      <w:pPr>
        <w:tabs>
          <w:tab w:val="num" w:pos="2880"/>
        </w:tabs>
        <w:ind w:left="2880" w:hanging="360"/>
      </w:pPr>
      <w:rPr>
        <w:rFonts w:ascii="Times New Roman" w:hAnsi="Times New Roman" w:hint="default"/>
      </w:rPr>
    </w:lvl>
    <w:lvl w:ilvl="4" w:tplc="4492EDFC" w:tentative="1">
      <w:start w:val="1"/>
      <w:numFmt w:val="bullet"/>
      <w:lvlText w:val="•"/>
      <w:lvlJc w:val="left"/>
      <w:pPr>
        <w:tabs>
          <w:tab w:val="num" w:pos="3600"/>
        </w:tabs>
        <w:ind w:left="3600" w:hanging="360"/>
      </w:pPr>
      <w:rPr>
        <w:rFonts w:ascii="Times New Roman" w:hAnsi="Times New Roman" w:hint="default"/>
      </w:rPr>
    </w:lvl>
    <w:lvl w:ilvl="5" w:tplc="87FC2DA0" w:tentative="1">
      <w:start w:val="1"/>
      <w:numFmt w:val="bullet"/>
      <w:lvlText w:val="•"/>
      <w:lvlJc w:val="left"/>
      <w:pPr>
        <w:tabs>
          <w:tab w:val="num" w:pos="4320"/>
        </w:tabs>
        <w:ind w:left="4320" w:hanging="360"/>
      </w:pPr>
      <w:rPr>
        <w:rFonts w:ascii="Times New Roman" w:hAnsi="Times New Roman" w:hint="default"/>
      </w:rPr>
    </w:lvl>
    <w:lvl w:ilvl="6" w:tplc="DD12753E" w:tentative="1">
      <w:start w:val="1"/>
      <w:numFmt w:val="bullet"/>
      <w:lvlText w:val="•"/>
      <w:lvlJc w:val="left"/>
      <w:pPr>
        <w:tabs>
          <w:tab w:val="num" w:pos="5040"/>
        </w:tabs>
        <w:ind w:left="5040" w:hanging="360"/>
      </w:pPr>
      <w:rPr>
        <w:rFonts w:ascii="Times New Roman" w:hAnsi="Times New Roman" w:hint="default"/>
      </w:rPr>
    </w:lvl>
    <w:lvl w:ilvl="7" w:tplc="6810B242" w:tentative="1">
      <w:start w:val="1"/>
      <w:numFmt w:val="bullet"/>
      <w:lvlText w:val="•"/>
      <w:lvlJc w:val="left"/>
      <w:pPr>
        <w:tabs>
          <w:tab w:val="num" w:pos="5760"/>
        </w:tabs>
        <w:ind w:left="5760" w:hanging="360"/>
      </w:pPr>
      <w:rPr>
        <w:rFonts w:ascii="Times New Roman" w:hAnsi="Times New Roman" w:hint="default"/>
      </w:rPr>
    </w:lvl>
    <w:lvl w:ilvl="8" w:tplc="0546BD5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3562C0"/>
    <w:multiLevelType w:val="hybridMultilevel"/>
    <w:tmpl w:val="58DEAFC6"/>
    <w:lvl w:ilvl="0" w:tplc="B7A85A00">
      <w:start w:val="1"/>
      <w:numFmt w:val="bullet"/>
      <w:lvlText w:val="•"/>
      <w:lvlJc w:val="left"/>
      <w:pPr>
        <w:tabs>
          <w:tab w:val="num" w:pos="720"/>
        </w:tabs>
        <w:ind w:left="720" w:hanging="360"/>
      </w:pPr>
      <w:rPr>
        <w:rFonts w:ascii="Times New Roman" w:hAnsi="Times New Roman" w:hint="default"/>
      </w:rPr>
    </w:lvl>
    <w:lvl w:ilvl="1" w:tplc="07D0FF5C" w:tentative="1">
      <w:start w:val="1"/>
      <w:numFmt w:val="bullet"/>
      <w:lvlText w:val="•"/>
      <w:lvlJc w:val="left"/>
      <w:pPr>
        <w:tabs>
          <w:tab w:val="num" w:pos="1440"/>
        </w:tabs>
        <w:ind w:left="1440" w:hanging="360"/>
      </w:pPr>
      <w:rPr>
        <w:rFonts w:ascii="Times New Roman" w:hAnsi="Times New Roman" w:hint="default"/>
      </w:rPr>
    </w:lvl>
    <w:lvl w:ilvl="2" w:tplc="EF6804A6" w:tentative="1">
      <w:start w:val="1"/>
      <w:numFmt w:val="bullet"/>
      <w:lvlText w:val="•"/>
      <w:lvlJc w:val="left"/>
      <w:pPr>
        <w:tabs>
          <w:tab w:val="num" w:pos="2160"/>
        </w:tabs>
        <w:ind w:left="2160" w:hanging="360"/>
      </w:pPr>
      <w:rPr>
        <w:rFonts w:ascii="Times New Roman" w:hAnsi="Times New Roman" w:hint="default"/>
      </w:rPr>
    </w:lvl>
    <w:lvl w:ilvl="3" w:tplc="981CEC34" w:tentative="1">
      <w:start w:val="1"/>
      <w:numFmt w:val="bullet"/>
      <w:lvlText w:val="•"/>
      <w:lvlJc w:val="left"/>
      <w:pPr>
        <w:tabs>
          <w:tab w:val="num" w:pos="2880"/>
        </w:tabs>
        <w:ind w:left="2880" w:hanging="360"/>
      </w:pPr>
      <w:rPr>
        <w:rFonts w:ascii="Times New Roman" w:hAnsi="Times New Roman" w:hint="default"/>
      </w:rPr>
    </w:lvl>
    <w:lvl w:ilvl="4" w:tplc="30C0A750" w:tentative="1">
      <w:start w:val="1"/>
      <w:numFmt w:val="bullet"/>
      <w:lvlText w:val="•"/>
      <w:lvlJc w:val="left"/>
      <w:pPr>
        <w:tabs>
          <w:tab w:val="num" w:pos="3600"/>
        </w:tabs>
        <w:ind w:left="3600" w:hanging="360"/>
      </w:pPr>
      <w:rPr>
        <w:rFonts w:ascii="Times New Roman" w:hAnsi="Times New Roman" w:hint="default"/>
      </w:rPr>
    </w:lvl>
    <w:lvl w:ilvl="5" w:tplc="573042FA" w:tentative="1">
      <w:start w:val="1"/>
      <w:numFmt w:val="bullet"/>
      <w:lvlText w:val="•"/>
      <w:lvlJc w:val="left"/>
      <w:pPr>
        <w:tabs>
          <w:tab w:val="num" w:pos="4320"/>
        </w:tabs>
        <w:ind w:left="4320" w:hanging="360"/>
      </w:pPr>
      <w:rPr>
        <w:rFonts w:ascii="Times New Roman" w:hAnsi="Times New Roman" w:hint="default"/>
      </w:rPr>
    </w:lvl>
    <w:lvl w:ilvl="6" w:tplc="EB908DDC" w:tentative="1">
      <w:start w:val="1"/>
      <w:numFmt w:val="bullet"/>
      <w:lvlText w:val="•"/>
      <w:lvlJc w:val="left"/>
      <w:pPr>
        <w:tabs>
          <w:tab w:val="num" w:pos="5040"/>
        </w:tabs>
        <w:ind w:left="5040" w:hanging="360"/>
      </w:pPr>
      <w:rPr>
        <w:rFonts w:ascii="Times New Roman" w:hAnsi="Times New Roman" w:hint="default"/>
      </w:rPr>
    </w:lvl>
    <w:lvl w:ilvl="7" w:tplc="979CDD0A" w:tentative="1">
      <w:start w:val="1"/>
      <w:numFmt w:val="bullet"/>
      <w:lvlText w:val="•"/>
      <w:lvlJc w:val="left"/>
      <w:pPr>
        <w:tabs>
          <w:tab w:val="num" w:pos="5760"/>
        </w:tabs>
        <w:ind w:left="5760" w:hanging="360"/>
      </w:pPr>
      <w:rPr>
        <w:rFonts w:ascii="Times New Roman" w:hAnsi="Times New Roman" w:hint="default"/>
      </w:rPr>
    </w:lvl>
    <w:lvl w:ilvl="8" w:tplc="83D4D1A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98F3914"/>
    <w:multiLevelType w:val="hybridMultilevel"/>
    <w:tmpl w:val="0878463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A6A769C"/>
    <w:multiLevelType w:val="hybridMultilevel"/>
    <w:tmpl w:val="B7EA3D52"/>
    <w:lvl w:ilvl="0" w:tplc="04A81A5E">
      <w:start w:val="1"/>
      <w:numFmt w:val="decimal"/>
      <w:pStyle w:val="Figurecaption"/>
      <w:lvlText w:val="Figure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2A5CC2"/>
    <w:multiLevelType w:val="hybridMultilevel"/>
    <w:tmpl w:val="964A2D2A"/>
    <w:lvl w:ilvl="0" w:tplc="FBDCABBC">
      <w:start w:val="1"/>
      <w:numFmt w:val="bullet"/>
      <w:lvlText w:val="•"/>
      <w:lvlJc w:val="left"/>
      <w:pPr>
        <w:tabs>
          <w:tab w:val="num" w:pos="720"/>
        </w:tabs>
        <w:ind w:left="720" w:hanging="360"/>
      </w:pPr>
      <w:rPr>
        <w:rFonts w:ascii="Times New Roman" w:hAnsi="Times New Roman" w:hint="default"/>
      </w:rPr>
    </w:lvl>
    <w:lvl w:ilvl="1" w:tplc="D98ED72E" w:tentative="1">
      <w:start w:val="1"/>
      <w:numFmt w:val="bullet"/>
      <w:lvlText w:val="•"/>
      <w:lvlJc w:val="left"/>
      <w:pPr>
        <w:tabs>
          <w:tab w:val="num" w:pos="1440"/>
        </w:tabs>
        <w:ind w:left="1440" w:hanging="360"/>
      </w:pPr>
      <w:rPr>
        <w:rFonts w:ascii="Times New Roman" w:hAnsi="Times New Roman" w:hint="default"/>
      </w:rPr>
    </w:lvl>
    <w:lvl w:ilvl="2" w:tplc="A8F8DAC0" w:tentative="1">
      <w:start w:val="1"/>
      <w:numFmt w:val="bullet"/>
      <w:lvlText w:val="•"/>
      <w:lvlJc w:val="left"/>
      <w:pPr>
        <w:tabs>
          <w:tab w:val="num" w:pos="2160"/>
        </w:tabs>
        <w:ind w:left="2160" w:hanging="360"/>
      </w:pPr>
      <w:rPr>
        <w:rFonts w:ascii="Times New Roman" w:hAnsi="Times New Roman" w:hint="default"/>
      </w:rPr>
    </w:lvl>
    <w:lvl w:ilvl="3" w:tplc="96942DA2" w:tentative="1">
      <w:start w:val="1"/>
      <w:numFmt w:val="bullet"/>
      <w:lvlText w:val="•"/>
      <w:lvlJc w:val="left"/>
      <w:pPr>
        <w:tabs>
          <w:tab w:val="num" w:pos="2880"/>
        </w:tabs>
        <w:ind w:left="2880" w:hanging="360"/>
      </w:pPr>
      <w:rPr>
        <w:rFonts w:ascii="Times New Roman" w:hAnsi="Times New Roman" w:hint="default"/>
      </w:rPr>
    </w:lvl>
    <w:lvl w:ilvl="4" w:tplc="01707CEE" w:tentative="1">
      <w:start w:val="1"/>
      <w:numFmt w:val="bullet"/>
      <w:lvlText w:val="•"/>
      <w:lvlJc w:val="left"/>
      <w:pPr>
        <w:tabs>
          <w:tab w:val="num" w:pos="3600"/>
        </w:tabs>
        <w:ind w:left="3600" w:hanging="360"/>
      </w:pPr>
      <w:rPr>
        <w:rFonts w:ascii="Times New Roman" w:hAnsi="Times New Roman" w:hint="default"/>
      </w:rPr>
    </w:lvl>
    <w:lvl w:ilvl="5" w:tplc="41220192" w:tentative="1">
      <w:start w:val="1"/>
      <w:numFmt w:val="bullet"/>
      <w:lvlText w:val="•"/>
      <w:lvlJc w:val="left"/>
      <w:pPr>
        <w:tabs>
          <w:tab w:val="num" w:pos="4320"/>
        </w:tabs>
        <w:ind w:left="4320" w:hanging="360"/>
      </w:pPr>
      <w:rPr>
        <w:rFonts w:ascii="Times New Roman" w:hAnsi="Times New Roman" w:hint="default"/>
      </w:rPr>
    </w:lvl>
    <w:lvl w:ilvl="6" w:tplc="7E8E8D64" w:tentative="1">
      <w:start w:val="1"/>
      <w:numFmt w:val="bullet"/>
      <w:lvlText w:val="•"/>
      <w:lvlJc w:val="left"/>
      <w:pPr>
        <w:tabs>
          <w:tab w:val="num" w:pos="5040"/>
        </w:tabs>
        <w:ind w:left="5040" w:hanging="360"/>
      </w:pPr>
      <w:rPr>
        <w:rFonts w:ascii="Times New Roman" w:hAnsi="Times New Roman" w:hint="default"/>
      </w:rPr>
    </w:lvl>
    <w:lvl w:ilvl="7" w:tplc="C7B86D72" w:tentative="1">
      <w:start w:val="1"/>
      <w:numFmt w:val="bullet"/>
      <w:lvlText w:val="•"/>
      <w:lvlJc w:val="left"/>
      <w:pPr>
        <w:tabs>
          <w:tab w:val="num" w:pos="5760"/>
        </w:tabs>
        <w:ind w:left="5760" w:hanging="360"/>
      </w:pPr>
      <w:rPr>
        <w:rFonts w:ascii="Times New Roman" w:hAnsi="Times New Roman" w:hint="default"/>
      </w:rPr>
    </w:lvl>
    <w:lvl w:ilvl="8" w:tplc="34700DF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3DC6D3F"/>
    <w:multiLevelType w:val="hybridMultilevel"/>
    <w:tmpl w:val="50FAF692"/>
    <w:lvl w:ilvl="0" w:tplc="DB783F16">
      <w:start w:val="1"/>
      <w:numFmt w:val="bullet"/>
      <w:pStyle w:val="ListBulletLevel1"/>
      <w:lvlText w:val=""/>
      <w:lvlJc w:val="left"/>
      <w:pPr>
        <w:ind w:left="-2850" w:hanging="360"/>
      </w:pPr>
      <w:rPr>
        <w:rFonts w:ascii="Symbol" w:hAnsi="Symbol" w:hint="default"/>
      </w:rPr>
    </w:lvl>
    <w:lvl w:ilvl="1" w:tplc="795AE78E">
      <w:start w:val="1"/>
      <w:numFmt w:val="bullet"/>
      <w:pStyle w:val="ListBulletLevel2"/>
      <w:lvlText w:val="o"/>
      <w:lvlJc w:val="left"/>
      <w:pPr>
        <w:ind w:left="-2130" w:hanging="360"/>
      </w:pPr>
      <w:rPr>
        <w:rFonts w:ascii="Courier New" w:hAnsi="Courier New" w:cs="Courier New" w:hint="default"/>
      </w:rPr>
    </w:lvl>
    <w:lvl w:ilvl="2" w:tplc="E3EC9AC6">
      <w:start w:val="1"/>
      <w:numFmt w:val="bullet"/>
      <w:pStyle w:val="ListBulletLevel3"/>
      <w:lvlText w:val=""/>
      <w:lvlJc w:val="left"/>
      <w:pPr>
        <w:ind w:left="-1410" w:hanging="360"/>
      </w:pPr>
      <w:rPr>
        <w:rFonts w:ascii="Wingdings" w:hAnsi="Wingdings" w:hint="default"/>
      </w:rPr>
    </w:lvl>
    <w:lvl w:ilvl="3" w:tplc="0C090001" w:tentative="1">
      <w:start w:val="1"/>
      <w:numFmt w:val="bullet"/>
      <w:lvlText w:val=""/>
      <w:lvlJc w:val="left"/>
      <w:pPr>
        <w:ind w:left="-690" w:hanging="360"/>
      </w:pPr>
      <w:rPr>
        <w:rFonts w:ascii="Symbol" w:hAnsi="Symbol" w:hint="default"/>
      </w:rPr>
    </w:lvl>
    <w:lvl w:ilvl="4" w:tplc="0C090003" w:tentative="1">
      <w:start w:val="1"/>
      <w:numFmt w:val="bullet"/>
      <w:lvlText w:val="o"/>
      <w:lvlJc w:val="left"/>
      <w:pPr>
        <w:ind w:left="30" w:hanging="360"/>
      </w:pPr>
      <w:rPr>
        <w:rFonts w:ascii="Courier New" w:hAnsi="Courier New" w:cs="Courier New" w:hint="default"/>
      </w:rPr>
    </w:lvl>
    <w:lvl w:ilvl="5" w:tplc="0C090005" w:tentative="1">
      <w:start w:val="1"/>
      <w:numFmt w:val="bullet"/>
      <w:lvlText w:val=""/>
      <w:lvlJc w:val="left"/>
      <w:pPr>
        <w:ind w:left="750" w:hanging="360"/>
      </w:pPr>
      <w:rPr>
        <w:rFonts w:ascii="Wingdings" w:hAnsi="Wingdings" w:hint="default"/>
      </w:rPr>
    </w:lvl>
    <w:lvl w:ilvl="6" w:tplc="0C090001" w:tentative="1">
      <w:start w:val="1"/>
      <w:numFmt w:val="bullet"/>
      <w:lvlText w:val=""/>
      <w:lvlJc w:val="left"/>
      <w:pPr>
        <w:ind w:left="1470" w:hanging="360"/>
      </w:pPr>
      <w:rPr>
        <w:rFonts w:ascii="Symbol" w:hAnsi="Symbol" w:hint="default"/>
      </w:rPr>
    </w:lvl>
    <w:lvl w:ilvl="7" w:tplc="0C090003" w:tentative="1">
      <w:start w:val="1"/>
      <w:numFmt w:val="bullet"/>
      <w:lvlText w:val="o"/>
      <w:lvlJc w:val="left"/>
      <w:pPr>
        <w:ind w:left="2190" w:hanging="360"/>
      </w:pPr>
      <w:rPr>
        <w:rFonts w:ascii="Courier New" w:hAnsi="Courier New" w:cs="Courier New" w:hint="default"/>
      </w:rPr>
    </w:lvl>
    <w:lvl w:ilvl="8" w:tplc="0C090005" w:tentative="1">
      <w:start w:val="1"/>
      <w:numFmt w:val="bullet"/>
      <w:lvlText w:val=""/>
      <w:lvlJc w:val="left"/>
      <w:pPr>
        <w:ind w:left="2910" w:hanging="360"/>
      </w:pPr>
      <w:rPr>
        <w:rFonts w:ascii="Wingdings" w:hAnsi="Wingdings" w:hint="default"/>
      </w:rPr>
    </w:lvl>
  </w:abstractNum>
  <w:abstractNum w:abstractNumId="25" w15:restartNumberingAfterBreak="0">
    <w:nsid w:val="56FF2F19"/>
    <w:multiLevelType w:val="hybridMultilevel"/>
    <w:tmpl w:val="170EF834"/>
    <w:lvl w:ilvl="0" w:tplc="66B83C9A">
      <w:start w:val="1"/>
      <w:numFmt w:val="bullet"/>
      <w:lvlText w:val="•"/>
      <w:lvlJc w:val="left"/>
      <w:pPr>
        <w:tabs>
          <w:tab w:val="num" w:pos="720"/>
        </w:tabs>
        <w:ind w:left="720" w:hanging="360"/>
      </w:pPr>
      <w:rPr>
        <w:rFonts w:ascii="Times New Roman" w:hAnsi="Times New Roman" w:hint="default"/>
      </w:rPr>
    </w:lvl>
    <w:lvl w:ilvl="1" w:tplc="2B0A7A4A" w:tentative="1">
      <w:start w:val="1"/>
      <w:numFmt w:val="bullet"/>
      <w:lvlText w:val="•"/>
      <w:lvlJc w:val="left"/>
      <w:pPr>
        <w:tabs>
          <w:tab w:val="num" w:pos="1440"/>
        </w:tabs>
        <w:ind w:left="1440" w:hanging="360"/>
      </w:pPr>
      <w:rPr>
        <w:rFonts w:ascii="Times New Roman" w:hAnsi="Times New Roman" w:hint="default"/>
      </w:rPr>
    </w:lvl>
    <w:lvl w:ilvl="2" w:tplc="D05AADA4" w:tentative="1">
      <w:start w:val="1"/>
      <w:numFmt w:val="bullet"/>
      <w:lvlText w:val="•"/>
      <w:lvlJc w:val="left"/>
      <w:pPr>
        <w:tabs>
          <w:tab w:val="num" w:pos="2160"/>
        </w:tabs>
        <w:ind w:left="2160" w:hanging="360"/>
      </w:pPr>
      <w:rPr>
        <w:rFonts w:ascii="Times New Roman" w:hAnsi="Times New Roman" w:hint="default"/>
      </w:rPr>
    </w:lvl>
    <w:lvl w:ilvl="3" w:tplc="F0EAF4FC" w:tentative="1">
      <w:start w:val="1"/>
      <w:numFmt w:val="bullet"/>
      <w:lvlText w:val="•"/>
      <w:lvlJc w:val="left"/>
      <w:pPr>
        <w:tabs>
          <w:tab w:val="num" w:pos="2880"/>
        </w:tabs>
        <w:ind w:left="2880" w:hanging="360"/>
      </w:pPr>
      <w:rPr>
        <w:rFonts w:ascii="Times New Roman" w:hAnsi="Times New Roman" w:hint="default"/>
      </w:rPr>
    </w:lvl>
    <w:lvl w:ilvl="4" w:tplc="26E6A502" w:tentative="1">
      <w:start w:val="1"/>
      <w:numFmt w:val="bullet"/>
      <w:lvlText w:val="•"/>
      <w:lvlJc w:val="left"/>
      <w:pPr>
        <w:tabs>
          <w:tab w:val="num" w:pos="3600"/>
        </w:tabs>
        <w:ind w:left="3600" w:hanging="360"/>
      </w:pPr>
      <w:rPr>
        <w:rFonts w:ascii="Times New Roman" w:hAnsi="Times New Roman" w:hint="default"/>
      </w:rPr>
    </w:lvl>
    <w:lvl w:ilvl="5" w:tplc="CBD41568" w:tentative="1">
      <w:start w:val="1"/>
      <w:numFmt w:val="bullet"/>
      <w:lvlText w:val="•"/>
      <w:lvlJc w:val="left"/>
      <w:pPr>
        <w:tabs>
          <w:tab w:val="num" w:pos="4320"/>
        </w:tabs>
        <w:ind w:left="4320" w:hanging="360"/>
      </w:pPr>
      <w:rPr>
        <w:rFonts w:ascii="Times New Roman" w:hAnsi="Times New Roman" w:hint="default"/>
      </w:rPr>
    </w:lvl>
    <w:lvl w:ilvl="6" w:tplc="AC049376" w:tentative="1">
      <w:start w:val="1"/>
      <w:numFmt w:val="bullet"/>
      <w:lvlText w:val="•"/>
      <w:lvlJc w:val="left"/>
      <w:pPr>
        <w:tabs>
          <w:tab w:val="num" w:pos="5040"/>
        </w:tabs>
        <w:ind w:left="5040" w:hanging="360"/>
      </w:pPr>
      <w:rPr>
        <w:rFonts w:ascii="Times New Roman" w:hAnsi="Times New Roman" w:hint="default"/>
      </w:rPr>
    </w:lvl>
    <w:lvl w:ilvl="7" w:tplc="8D569220" w:tentative="1">
      <w:start w:val="1"/>
      <w:numFmt w:val="bullet"/>
      <w:lvlText w:val="•"/>
      <w:lvlJc w:val="left"/>
      <w:pPr>
        <w:tabs>
          <w:tab w:val="num" w:pos="5760"/>
        </w:tabs>
        <w:ind w:left="5760" w:hanging="360"/>
      </w:pPr>
      <w:rPr>
        <w:rFonts w:ascii="Times New Roman" w:hAnsi="Times New Roman" w:hint="default"/>
      </w:rPr>
    </w:lvl>
    <w:lvl w:ilvl="8" w:tplc="63F65F0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F2824EB"/>
    <w:multiLevelType w:val="multilevel"/>
    <w:tmpl w:val="F8E037BA"/>
    <w:lvl w:ilvl="0">
      <w:start w:val="1"/>
      <w:numFmt w:val="decimal"/>
      <w:pStyle w:val="ListNumberedLevel1"/>
      <w:lvlText w:val="%1."/>
      <w:lvlJc w:val="left"/>
      <w:pPr>
        <w:ind w:left="1080" w:hanging="360"/>
      </w:pPr>
    </w:lvl>
    <w:lvl w:ilvl="1">
      <w:start w:val="1"/>
      <w:numFmt w:val="decimal"/>
      <w:pStyle w:val="ListNumberLevel2"/>
      <w:lvlText w:val="%1.%2."/>
      <w:lvlJc w:val="left"/>
      <w:pPr>
        <w:ind w:left="1512" w:hanging="432"/>
      </w:pPr>
    </w:lvl>
    <w:lvl w:ilvl="2">
      <w:start w:val="1"/>
      <w:numFmt w:val="decimal"/>
      <w:pStyle w:val="ListNumberlevel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6F9211D7"/>
    <w:multiLevelType w:val="hybridMultilevel"/>
    <w:tmpl w:val="88746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4"/>
  </w:num>
  <w:num w:numId="4">
    <w:abstractNumId w:val="26"/>
  </w:num>
  <w:num w:numId="5">
    <w:abstractNumId w:val="22"/>
  </w:num>
  <w:num w:numId="6">
    <w:abstractNumId w:val="16"/>
  </w:num>
  <w:num w:numId="7">
    <w:abstractNumId w:val="21"/>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7"/>
  </w:num>
  <w:num w:numId="21">
    <w:abstractNumId w:val="12"/>
  </w:num>
  <w:num w:numId="22">
    <w:abstractNumId w:val="17"/>
  </w:num>
  <w:num w:numId="23">
    <w:abstractNumId w:val="23"/>
  </w:num>
  <w:num w:numId="24">
    <w:abstractNumId w:val="18"/>
  </w:num>
  <w:num w:numId="25">
    <w:abstractNumId w:val="10"/>
  </w:num>
  <w:num w:numId="26">
    <w:abstractNumId w:val="13"/>
  </w:num>
  <w:num w:numId="27">
    <w:abstractNumId w:val="19"/>
  </w:num>
  <w:num w:numId="28">
    <w:abstractNumId w:val="14"/>
  </w:num>
  <w:num w:numId="29">
    <w:abstractNumId w:val="20"/>
  </w:num>
  <w:num w:numId="30">
    <w:abstractNumId w:val="24"/>
  </w:num>
  <w:num w:numId="31">
    <w:abstractNumId w:val="24"/>
  </w:num>
  <w:num w:numId="32">
    <w:abstractNumId w:val="24"/>
  </w:num>
  <w:num w:numId="33">
    <w:abstractNumId w:val="24"/>
  </w:num>
  <w:num w:numId="34">
    <w:abstractNumId w:val="25"/>
  </w:num>
  <w:num w:numId="35">
    <w:abstractNumId w:val="24"/>
  </w:num>
  <w:num w:numId="3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3F"/>
    <w:rsid w:val="00002B27"/>
    <w:rsid w:val="00004BB9"/>
    <w:rsid w:val="00004D45"/>
    <w:rsid w:val="000059DE"/>
    <w:rsid w:val="00005DB2"/>
    <w:rsid w:val="00010907"/>
    <w:rsid w:val="00012025"/>
    <w:rsid w:val="000124C4"/>
    <w:rsid w:val="000128B2"/>
    <w:rsid w:val="00014468"/>
    <w:rsid w:val="0001485A"/>
    <w:rsid w:val="00014A52"/>
    <w:rsid w:val="00015D4C"/>
    <w:rsid w:val="00017AC9"/>
    <w:rsid w:val="00021F54"/>
    <w:rsid w:val="000220A9"/>
    <w:rsid w:val="00024A1D"/>
    <w:rsid w:val="00025FEB"/>
    <w:rsid w:val="00026A96"/>
    <w:rsid w:val="00026D38"/>
    <w:rsid w:val="00027549"/>
    <w:rsid w:val="00027909"/>
    <w:rsid w:val="000308CF"/>
    <w:rsid w:val="00030BA2"/>
    <w:rsid w:val="000312FE"/>
    <w:rsid w:val="000318EF"/>
    <w:rsid w:val="00031DFE"/>
    <w:rsid w:val="000328C1"/>
    <w:rsid w:val="00036D2E"/>
    <w:rsid w:val="0003737E"/>
    <w:rsid w:val="00040175"/>
    <w:rsid w:val="00041670"/>
    <w:rsid w:val="00041977"/>
    <w:rsid w:val="00041B1E"/>
    <w:rsid w:val="0004235D"/>
    <w:rsid w:val="00042FC0"/>
    <w:rsid w:val="0004392A"/>
    <w:rsid w:val="000442FA"/>
    <w:rsid w:val="00044AA6"/>
    <w:rsid w:val="00046AB8"/>
    <w:rsid w:val="00050100"/>
    <w:rsid w:val="00051E7D"/>
    <w:rsid w:val="00052274"/>
    <w:rsid w:val="00052BFF"/>
    <w:rsid w:val="00052CDA"/>
    <w:rsid w:val="00061427"/>
    <w:rsid w:val="00062700"/>
    <w:rsid w:val="0006303C"/>
    <w:rsid w:val="000655C3"/>
    <w:rsid w:val="00066A56"/>
    <w:rsid w:val="0006738D"/>
    <w:rsid w:val="000701EF"/>
    <w:rsid w:val="000703B9"/>
    <w:rsid w:val="00072134"/>
    <w:rsid w:val="000744DD"/>
    <w:rsid w:val="0007582F"/>
    <w:rsid w:val="0008075C"/>
    <w:rsid w:val="00083C0C"/>
    <w:rsid w:val="00084942"/>
    <w:rsid w:val="000916FD"/>
    <w:rsid w:val="000919D1"/>
    <w:rsid w:val="00091B02"/>
    <w:rsid w:val="00092571"/>
    <w:rsid w:val="0009343C"/>
    <w:rsid w:val="0009528F"/>
    <w:rsid w:val="000952BE"/>
    <w:rsid w:val="000957ED"/>
    <w:rsid w:val="00095EB2"/>
    <w:rsid w:val="00097781"/>
    <w:rsid w:val="000A08EF"/>
    <w:rsid w:val="000A1AFC"/>
    <w:rsid w:val="000A2218"/>
    <w:rsid w:val="000A26BB"/>
    <w:rsid w:val="000A3838"/>
    <w:rsid w:val="000A3A54"/>
    <w:rsid w:val="000A6763"/>
    <w:rsid w:val="000B088F"/>
    <w:rsid w:val="000B2BD2"/>
    <w:rsid w:val="000B3138"/>
    <w:rsid w:val="000B3EA2"/>
    <w:rsid w:val="000B493D"/>
    <w:rsid w:val="000B4F5F"/>
    <w:rsid w:val="000B795E"/>
    <w:rsid w:val="000C1F24"/>
    <w:rsid w:val="000C27C7"/>
    <w:rsid w:val="000C3A75"/>
    <w:rsid w:val="000C5F4C"/>
    <w:rsid w:val="000D0D89"/>
    <w:rsid w:val="000D1E1D"/>
    <w:rsid w:val="000D3298"/>
    <w:rsid w:val="000D3A9F"/>
    <w:rsid w:val="000D5B9A"/>
    <w:rsid w:val="000D68AB"/>
    <w:rsid w:val="000D723F"/>
    <w:rsid w:val="000E0874"/>
    <w:rsid w:val="000E1FD2"/>
    <w:rsid w:val="000E230B"/>
    <w:rsid w:val="000E3C82"/>
    <w:rsid w:val="000E4345"/>
    <w:rsid w:val="000E5067"/>
    <w:rsid w:val="000E59E7"/>
    <w:rsid w:val="000E781B"/>
    <w:rsid w:val="000E7C34"/>
    <w:rsid w:val="000F083F"/>
    <w:rsid w:val="000F1072"/>
    <w:rsid w:val="000F2715"/>
    <w:rsid w:val="000F4D4B"/>
    <w:rsid w:val="000F5B64"/>
    <w:rsid w:val="000F5CA0"/>
    <w:rsid w:val="000F79EC"/>
    <w:rsid w:val="001001E2"/>
    <w:rsid w:val="00101E77"/>
    <w:rsid w:val="00103562"/>
    <w:rsid w:val="001037AD"/>
    <w:rsid w:val="001049AF"/>
    <w:rsid w:val="00104C9A"/>
    <w:rsid w:val="001070FA"/>
    <w:rsid w:val="00111053"/>
    <w:rsid w:val="001119AB"/>
    <w:rsid w:val="00111FAA"/>
    <w:rsid w:val="00112DB0"/>
    <w:rsid w:val="0011300F"/>
    <w:rsid w:val="00114983"/>
    <w:rsid w:val="001149EE"/>
    <w:rsid w:val="00114EB8"/>
    <w:rsid w:val="00115341"/>
    <w:rsid w:val="00115D19"/>
    <w:rsid w:val="00115FC7"/>
    <w:rsid w:val="0011620D"/>
    <w:rsid w:val="0011771F"/>
    <w:rsid w:val="00117877"/>
    <w:rsid w:val="00117C08"/>
    <w:rsid w:val="00120982"/>
    <w:rsid w:val="00120E2B"/>
    <w:rsid w:val="001222AD"/>
    <w:rsid w:val="00122EC4"/>
    <w:rsid w:val="00123F26"/>
    <w:rsid w:val="001241BC"/>
    <w:rsid w:val="001259F2"/>
    <w:rsid w:val="00126EF0"/>
    <w:rsid w:val="001305CE"/>
    <w:rsid w:val="00131973"/>
    <w:rsid w:val="001319D8"/>
    <w:rsid w:val="00131F0C"/>
    <w:rsid w:val="0013234B"/>
    <w:rsid w:val="00133E49"/>
    <w:rsid w:val="0013489C"/>
    <w:rsid w:val="001349F9"/>
    <w:rsid w:val="00136268"/>
    <w:rsid w:val="00137CD3"/>
    <w:rsid w:val="00137FC0"/>
    <w:rsid w:val="00140E76"/>
    <w:rsid w:val="00140EED"/>
    <w:rsid w:val="00140F73"/>
    <w:rsid w:val="001413BA"/>
    <w:rsid w:val="00143303"/>
    <w:rsid w:val="001446D5"/>
    <w:rsid w:val="00145A9C"/>
    <w:rsid w:val="00150702"/>
    <w:rsid w:val="00151862"/>
    <w:rsid w:val="001536C8"/>
    <w:rsid w:val="00154887"/>
    <w:rsid w:val="00157615"/>
    <w:rsid w:val="00157C14"/>
    <w:rsid w:val="001619F5"/>
    <w:rsid w:val="00161E87"/>
    <w:rsid w:val="0016377C"/>
    <w:rsid w:val="00163C14"/>
    <w:rsid w:val="00164D65"/>
    <w:rsid w:val="00165380"/>
    <w:rsid w:val="001659D5"/>
    <w:rsid w:val="00165FE3"/>
    <w:rsid w:val="00167DEE"/>
    <w:rsid w:val="00171121"/>
    <w:rsid w:val="00171C10"/>
    <w:rsid w:val="00172F8A"/>
    <w:rsid w:val="001732B8"/>
    <w:rsid w:val="00173EEB"/>
    <w:rsid w:val="00177710"/>
    <w:rsid w:val="001808A0"/>
    <w:rsid w:val="00180EB0"/>
    <w:rsid w:val="00180EC4"/>
    <w:rsid w:val="00180EF1"/>
    <w:rsid w:val="0018283F"/>
    <w:rsid w:val="00182E33"/>
    <w:rsid w:val="00184062"/>
    <w:rsid w:val="001847FC"/>
    <w:rsid w:val="00185BF4"/>
    <w:rsid w:val="00185EDF"/>
    <w:rsid w:val="00186607"/>
    <w:rsid w:val="0018689F"/>
    <w:rsid w:val="0018718D"/>
    <w:rsid w:val="00190275"/>
    <w:rsid w:val="00190453"/>
    <w:rsid w:val="00191486"/>
    <w:rsid w:val="00191CEF"/>
    <w:rsid w:val="00195869"/>
    <w:rsid w:val="001969DC"/>
    <w:rsid w:val="001976EB"/>
    <w:rsid w:val="00197D46"/>
    <w:rsid w:val="001A3FCE"/>
    <w:rsid w:val="001A489A"/>
    <w:rsid w:val="001A49F3"/>
    <w:rsid w:val="001A4ABD"/>
    <w:rsid w:val="001A5240"/>
    <w:rsid w:val="001A6371"/>
    <w:rsid w:val="001A6D27"/>
    <w:rsid w:val="001A71A7"/>
    <w:rsid w:val="001B0A36"/>
    <w:rsid w:val="001B0B2B"/>
    <w:rsid w:val="001B105A"/>
    <w:rsid w:val="001B1972"/>
    <w:rsid w:val="001B225D"/>
    <w:rsid w:val="001B3168"/>
    <w:rsid w:val="001B3F89"/>
    <w:rsid w:val="001B44E6"/>
    <w:rsid w:val="001B5462"/>
    <w:rsid w:val="001B5E26"/>
    <w:rsid w:val="001B64B4"/>
    <w:rsid w:val="001C201D"/>
    <w:rsid w:val="001C2DF6"/>
    <w:rsid w:val="001C3C71"/>
    <w:rsid w:val="001C5A6C"/>
    <w:rsid w:val="001C5F27"/>
    <w:rsid w:val="001D00BC"/>
    <w:rsid w:val="001D0755"/>
    <w:rsid w:val="001D07C8"/>
    <w:rsid w:val="001D20C0"/>
    <w:rsid w:val="001D4C85"/>
    <w:rsid w:val="001D530F"/>
    <w:rsid w:val="001D658A"/>
    <w:rsid w:val="001E0166"/>
    <w:rsid w:val="001E2A9C"/>
    <w:rsid w:val="001E4B78"/>
    <w:rsid w:val="001E55E8"/>
    <w:rsid w:val="001E78EB"/>
    <w:rsid w:val="001F05C6"/>
    <w:rsid w:val="001F07B8"/>
    <w:rsid w:val="001F3A41"/>
    <w:rsid w:val="001F6C6E"/>
    <w:rsid w:val="00205121"/>
    <w:rsid w:val="002061AD"/>
    <w:rsid w:val="00206A14"/>
    <w:rsid w:val="002071A5"/>
    <w:rsid w:val="002119CE"/>
    <w:rsid w:val="00211F66"/>
    <w:rsid w:val="00212464"/>
    <w:rsid w:val="00212530"/>
    <w:rsid w:val="002126B0"/>
    <w:rsid w:val="00212AF8"/>
    <w:rsid w:val="00212EBD"/>
    <w:rsid w:val="0021309E"/>
    <w:rsid w:val="00213829"/>
    <w:rsid w:val="0021406D"/>
    <w:rsid w:val="00214B66"/>
    <w:rsid w:val="002173DA"/>
    <w:rsid w:val="00217E80"/>
    <w:rsid w:val="00221193"/>
    <w:rsid w:val="00222613"/>
    <w:rsid w:val="00222685"/>
    <w:rsid w:val="002234ED"/>
    <w:rsid w:val="0022352C"/>
    <w:rsid w:val="002237C6"/>
    <w:rsid w:val="00223A5C"/>
    <w:rsid w:val="00224143"/>
    <w:rsid w:val="002248E5"/>
    <w:rsid w:val="002249B1"/>
    <w:rsid w:val="002255BC"/>
    <w:rsid w:val="00225805"/>
    <w:rsid w:val="0022701D"/>
    <w:rsid w:val="00230022"/>
    <w:rsid w:val="0023045B"/>
    <w:rsid w:val="00230970"/>
    <w:rsid w:val="002312E6"/>
    <w:rsid w:val="00233388"/>
    <w:rsid w:val="0023584D"/>
    <w:rsid w:val="00235E06"/>
    <w:rsid w:val="00237126"/>
    <w:rsid w:val="00240394"/>
    <w:rsid w:val="00241146"/>
    <w:rsid w:val="002414BC"/>
    <w:rsid w:val="00243555"/>
    <w:rsid w:val="00243CD2"/>
    <w:rsid w:val="00245041"/>
    <w:rsid w:val="00246F72"/>
    <w:rsid w:val="0024789A"/>
    <w:rsid w:val="002504C5"/>
    <w:rsid w:val="002514E0"/>
    <w:rsid w:val="0025244A"/>
    <w:rsid w:val="002539D5"/>
    <w:rsid w:val="00254B55"/>
    <w:rsid w:val="002557C6"/>
    <w:rsid w:val="00255B57"/>
    <w:rsid w:val="00256623"/>
    <w:rsid w:val="00257CD9"/>
    <w:rsid w:val="002603B6"/>
    <w:rsid w:val="0026276A"/>
    <w:rsid w:val="00263436"/>
    <w:rsid w:val="002641AD"/>
    <w:rsid w:val="00267342"/>
    <w:rsid w:val="002674C9"/>
    <w:rsid w:val="00270BF6"/>
    <w:rsid w:val="00271BB6"/>
    <w:rsid w:val="0027203F"/>
    <w:rsid w:val="00272041"/>
    <w:rsid w:val="002748AA"/>
    <w:rsid w:val="00276080"/>
    <w:rsid w:val="00276CD1"/>
    <w:rsid w:val="0027728A"/>
    <w:rsid w:val="002800BF"/>
    <w:rsid w:val="0028109C"/>
    <w:rsid w:val="00281423"/>
    <w:rsid w:val="002822CA"/>
    <w:rsid w:val="0028268F"/>
    <w:rsid w:val="00283B32"/>
    <w:rsid w:val="00284B8F"/>
    <w:rsid w:val="002865B3"/>
    <w:rsid w:val="0028703B"/>
    <w:rsid w:val="00287D65"/>
    <w:rsid w:val="0029113E"/>
    <w:rsid w:val="00291D68"/>
    <w:rsid w:val="0029288C"/>
    <w:rsid w:val="002930D9"/>
    <w:rsid w:val="00295C61"/>
    <w:rsid w:val="00296DD9"/>
    <w:rsid w:val="00297A82"/>
    <w:rsid w:val="002A132D"/>
    <w:rsid w:val="002A2CBB"/>
    <w:rsid w:val="002A3D45"/>
    <w:rsid w:val="002A463D"/>
    <w:rsid w:val="002A4EE7"/>
    <w:rsid w:val="002A69EC"/>
    <w:rsid w:val="002B0415"/>
    <w:rsid w:val="002B074B"/>
    <w:rsid w:val="002B0D9F"/>
    <w:rsid w:val="002B1120"/>
    <w:rsid w:val="002B1C3D"/>
    <w:rsid w:val="002B2DC3"/>
    <w:rsid w:val="002B305D"/>
    <w:rsid w:val="002B3696"/>
    <w:rsid w:val="002B4406"/>
    <w:rsid w:val="002B551E"/>
    <w:rsid w:val="002B7615"/>
    <w:rsid w:val="002B7DB2"/>
    <w:rsid w:val="002C0564"/>
    <w:rsid w:val="002C0D44"/>
    <w:rsid w:val="002C11B5"/>
    <w:rsid w:val="002C12A9"/>
    <w:rsid w:val="002C15B2"/>
    <w:rsid w:val="002C1D2C"/>
    <w:rsid w:val="002C2A7D"/>
    <w:rsid w:val="002C35DA"/>
    <w:rsid w:val="002C3728"/>
    <w:rsid w:val="002C3967"/>
    <w:rsid w:val="002C3EC6"/>
    <w:rsid w:val="002C40D5"/>
    <w:rsid w:val="002C4294"/>
    <w:rsid w:val="002C555E"/>
    <w:rsid w:val="002C5701"/>
    <w:rsid w:val="002C69EB"/>
    <w:rsid w:val="002C7912"/>
    <w:rsid w:val="002D13EA"/>
    <w:rsid w:val="002D339F"/>
    <w:rsid w:val="002D404E"/>
    <w:rsid w:val="002D56CD"/>
    <w:rsid w:val="002D5897"/>
    <w:rsid w:val="002D5989"/>
    <w:rsid w:val="002D73DA"/>
    <w:rsid w:val="002E05E1"/>
    <w:rsid w:val="002E175B"/>
    <w:rsid w:val="002E3927"/>
    <w:rsid w:val="002E49FF"/>
    <w:rsid w:val="002E50E9"/>
    <w:rsid w:val="002E54EF"/>
    <w:rsid w:val="002E5A77"/>
    <w:rsid w:val="002F1743"/>
    <w:rsid w:val="002F19B2"/>
    <w:rsid w:val="002F218D"/>
    <w:rsid w:val="002F2367"/>
    <w:rsid w:val="002F350E"/>
    <w:rsid w:val="002F5299"/>
    <w:rsid w:val="002F61A2"/>
    <w:rsid w:val="002F79C0"/>
    <w:rsid w:val="00300637"/>
    <w:rsid w:val="003015FF"/>
    <w:rsid w:val="00301876"/>
    <w:rsid w:val="003029DE"/>
    <w:rsid w:val="00303477"/>
    <w:rsid w:val="0030518E"/>
    <w:rsid w:val="00305FE5"/>
    <w:rsid w:val="00307FB7"/>
    <w:rsid w:val="00310306"/>
    <w:rsid w:val="003108DA"/>
    <w:rsid w:val="00310942"/>
    <w:rsid w:val="00310DBA"/>
    <w:rsid w:val="003123E4"/>
    <w:rsid w:val="00312477"/>
    <w:rsid w:val="0031422B"/>
    <w:rsid w:val="00314304"/>
    <w:rsid w:val="00316CB0"/>
    <w:rsid w:val="00317C27"/>
    <w:rsid w:val="00320750"/>
    <w:rsid w:val="0032076D"/>
    <w:rsid w:val="00320816"/>
    <w:rsid w:val="00320A77"/>
    <w:rsid w:val="00320F39"/>
    <w:rsid w:val="00323658"/>
    <w:rsid w:val="00323B8A"/>
    <w:rsid w:val="0032785B"/>
    <w:rsid w:val="0033038C"/>
    <w:rsid w:val="0033048F"/>
    <w:rsid w:val="00330A91"/>
    <w:rsid w:val="00330BFF"/>
    <w:rsid w:val="00330EA4"/>
    <w:rsid w:val="00331892"/>
    <w:rsid w:val="00331DAC"/>
    <w:rsid w:val="00334062"/>
    <w:rsid w:val="00335556"/>
    <w:rsid w:val="00335A08"/>
    <w:rsid w:val="00336881"/>
    <w:rsid w:val="00337A3F"/>
    <w:rsid w:val="0034151A"/>
    <w:rsid w:val="003425CD"/>
    <w:rsid w:val="00343416"/>
    <w:rsid w:val="003464FE"/>
    <w:rsid w:val="003466D3"/>
    <w:rsid w:val="0035013A"/>
    <w:rsid w:val="0035047B"/>
    <w:rsid w:val="0035247A"/>
    <w:rsid w:val="0035319C"/>
    <w:rsid w:val="00357553"/>
    <w:rsid w:val="003619A6"/>
    <w:rsid w:val="00362880"/>
    <w:rsid w:val="00362B07"/>
    <w:rsid w:val="00363071"/>
    <w:rsid w:val="003644D4"/>
    <w:rsid w:val="00364C50"/>
    <w:rsid w:val="003656D0"/>
    <w:rsid w:val="003658DD"/>
    <w:rsid w:val="00370709"/>
    <w:rsid w:val="00370F09"/>
    <w:rsid w:val="00371291"/>
    <w:rsid w:val="00372D20"/>
    <w:rsid w:val="00372DE5"/>
    <w:rsid w:val="00374843"/>
    <w:rsid w:val="00375AAA"/>
    <w:rsid w:val="003769BE"/>
    <w:rsid w:val="00376A6D"/>
    <w:rsid w:val="003772B4"/>
    <w:rsid w:val="003803A4"/>
    <w:rsid w:val="00380AB4"/>
    <w:rsid w:val="0038155C"/>
    <w:rsid w:val="003838B9"/>
    <w:rsid w:val="00386DBE"/>
    <w:rsid w:val="003932CA"/>
    <w:rsid w:val="00394151"/>
    <w:rsid w:val="003949D4"/>
    <w:rsid w:val="00394EF2"/>
    <w:rsid w:val="00396C3D"/>
    <w:rsid w:val="003A0A77"/>
    <w:rsid w:val="003A0F36"/>
    <w:rsid w:val="003A11D5"/>
    <w:rsid w:val="003A440F"/>
    <w:rsid w:val="003A506A"/>
    <w:rsid w:val="003A5709"/>
    <w:rsid w:val="003A5C60"/>
    <w:rsid w:val="003A7CE8"/>
    <w:rsid w:val="003B6B0B"/>
    <w:rsid w:val="003B6D22"/>
    <w:rsid w:val="003B7595"/>
    <w:rsid w:val="003B7619"/>
    <w:rsid w:val="003B7FF7"/>
    <w:rsid w:val="003C0432"/>
    <w:rsid w:val="003C0916"/>
    <w:rsid w:val="003C11B0"/>
    <w:rsid w:val="003C163B"/>
    <w:rsid w:val="003C1643"/>
    <w:rsid w:val="003C1D44"/>
    <w:rsid w:val="003C206E"/>
    <w:rsid w:val="003C60CD"/>
    <w:rsid w:val="003C6D56"/>
    <w:rsid w:val="003C6E68"/>
    <w:rsid w:val="003C7453"/>
    <w:rsid w:val="003C7C5A"/>
    <w:rsid w:val="003D003B"/>
    <w:rsid w:val="003D27BB"/>
    <w:rsid w:val="003D2D5F"/>
    <w:rsid w:val="003D42E5"/>
    <w:rsid w:val="003D5EAB"/>
    <w:rsid w:val="003D7743"/>
    <w:rsid w:val="003E04D8"/>
    <w:rsid w:val="003E0533"/>
    <w:rsid w:val="003E0896"/>
    <w:rsid w:val="003E096A"/>
    <w:rsid w:val="003E0E32"/>
    <w:rsid w:val="003E1314"/>
    <w:rsid w:val="003E1658"/>
    <w:rsid w:val="003E49D0"/>
    <w:rsid w:val="003E4A85"/>
    <w:rsid w:val="003E61EA"/>
    <w:rsid w:val="003E6485"/>
    <w:rsid w:val="003E6C22"/>
    <w:rsid w:val="003E6CCF"/>
    <w:rsid w:val="003E6D1E"/>
    <w:rsid w:val="003E7FEA"/>
    <w:rsid w:val="003F06D8"/>
    <w:rsid w:val="003F1350"/>
    <w:rsid w:val="003F4B12"/>
    <w:rsid w:val="003F5E26"/>
    <w:rsid w:val="003F62FE"/>
    <w:rsid w:val="003F664C"/>
    <w:rsid w:val="003F6B41"/>
    <w:rsid w:val="00400A7C"/>
    <w:rsid w:val="004057B9"/>
    <w:rsid w:val="00405943"/>
    <w:rsid w:val="004060DE"/>
    <w:rsid w:val="0040662D"/>
    <w:rsid w:val="00406D91"/>
    <w:rsid w:val="00407629"/>
    <w:rsid w:val="00410CC3"/>
    <w:rsid w:val="00411555"/>
    <w:rsid w:val="00411642"/>
    <w:rsid w:val="00411B7F"/>
    <w:rsid w:val="00411C1A"/>
    <w:rsid w:val="00412E08"/>
    <w:rsid w:val="00415089"/>
    <w:rsid w:val="00415AB0"/>
    <w:rsid w:val="0041654E"/>
    <w:rsid w:val="00417E1F"/>
    <w:rsid w:val="00420189"/>
    <w:rsid w:val="0042089D"/>
    <w:rsid w:val="004210F4"/>
    <w:rsid w:val="0042170B"/>
    <w:rsid w:val="0042398F"/>
    <w:rsid w:val="0042574F"/>
    <w:rsid w:val="00432348"/>
    <w:rsid w:val="00432F40"/>
    <w:rsid w:val="0043585D"/>
    <w:rsid w:val="0043643D"/>
    <w:rsid w:val="00436FDA"/>
    <w:rsid w:val="004374B9"/>
    <w:rsid w:val="00437B97"/>
    <w:rsid w:val="00441300"/>
    <w:rsid w:val="00441682"/>
    <w:rsid w:val="00441942"/>
    <w:rsid w:val="004437D9"/>
    <w:rsid w:val="00443806"/>
    <w:rsid w:val="00444160"/>
    <w:rsid w:val="004468C2"/>
    <w:rsid w:val="00446BDF"/>
    <w:rsid w:val="00446E9E"/>
    <w:rsid w:val="00447BDA"/>
    <w:rsid w:val="00452561"/>
    <w:rsid w:val="004531F6"/>
    <w:rsid w:val="00453964"/>
    <w:rsid w:val="004549C1"/>
    <w:rsid w:val="00457427"/>
    <w:rsid w:val="0045790F"/>
    <w:rsid w:val="00457958"/>
    <w:rsid w:val="00460322"/>
    <w:rsid w:val="004604E4"/>
    <w:rsid w:val="00462591"/>
    <w:rsid w:val="0046340D"/>
    <w:rsid w:val="004641CC"/>
    <w:rsid w:val="00464376"/>
    <w:rsid w:val="0046489C"/>
    <w:rsid w:val="00464D0D"/>
    <w:rsid w:val="00465BD3"/>
    <w:rsid w:val="00465E61"/>
    <w:rsid w:val="00466556"/>
    <w:rsid w:val="00466782"/>
    <w:rsid w:val="00467707"/>
    <w:rsid w:val="00467A14"/>
    <w:rsid w:val="00471DAD"/>
    <w:rsid w:val="00472900"/>
    <w:rsid w:val="00473440"/>
    <w:rsid w:val="00475ABE"/>
    <w:rsid w:val="0047767A"/>
    <w:rsid w:val="00477A66"/>
    <w:rsid w:val="004822D9"/>
    <w:rsid w:val="0048426D"/>
    <w:rsid w:val="00484EFC"/>
    <w:rsid w:val="0048637B"/>
    <w:rsid w:val="0048766A"/>
    <w:rsid w:val="00490669"/>
    <w:rsid w:val="00490E8D"/>
    <w:rsid w:val="0049131D"/>
    <w:rsid w:val="00491651"/>
    <w:rsid w:val="0049166B"/>
    <w:rsid w:val="0049334F"/>
    <w:rsid w:val="00493E6E"/>
    <w:rsid w:val="0049574B"/>
    <w:rsid w:val="00497333"/>
    <w:rsid w:val="004A0F59"/>
    <w:rsid w:val="004A1A2A"/>
    <w:rsid w:val="004A32AB"/>
    <w:rsid w:val="004A3AB8"/>
    <w:rsid w:val="004A3C8F"/>
    <w:rsid w:val="004A48BA"/>
    <w:rsid w:val="004A4BA7"/>
    <w:rsid w:val="004A5778"/>
    <w:rsid w:val="004A6EE9"/>
    <w:rsid w:val="004A78E3"/>
    <w:rsid w:val="004A7F9B"/>
    <w:rsid w:val="004B1202"/>
    <w:rsid w:val="004B2341"/>
    <w:rsid w:val="004B2419"/>
    <w:rsid w:val="004B2F4A"/>
    <w:rsid w:val="004B4644"/>
    <w:rsid w:val="004B513E"/>
    <w:rsid w:val="004B5875"/>
    <w:rsid w:val="004B69A7"/>
    <w:rsid w:val="004B6E10"/>
    <w:rsid w:val="004B723B"/>
    <w:rsid w:val="004B755C"/>
    <w:rsid w:val="004C0B28"/>
    <w:rsid w:val="004C0C96"/>
    <w:rsid w:val="004C35F7"/>
    <w:rsid w:val="004C40FE"/>
    <w:rsid w:val="004C45CE"/>
    <w:rsid w:val="004C6EAA"/>
    <w:rsid w:val="004C7E06"/>
    <w:rsid w:val="004D1E73"/>
    <w:rsid w:val="004D2816"/>
    <w:rsid w:val="004D285D"/>
    <w:rsid w:val="004D303C"/>
    <w:rsid w:val="004D4A08"/>
    <w:rsid w:val="004D4D94"/>
    <w:rsid w:val="004D6850"/>
    <w:rsid w:val="004E0907"/>
    <w:rsid w:val="004E1FCE"/>
    <w:rsid w:val="004E58E6"/>
    <w:rsid w:val="004E6476"/>
    <w:rsid w:val="004F14A1"/>
    <w:rsid w:val="004F3818"/>
    <w:rsid w:val="004F4D12"/>
    <w:rsid w:val="004F7A3A"/>
    <w:rsid w:val="005000D5"/>
    <w:rsid w:val="00500C82"/>
    <w:rsid w:val="00500E67"/>
    <w:rsid w:val="00502587"/>
    <w:rsid w:val="00502589"/>
    <w:rsid w:val="005035BB"/>
    <w:rsid w:val="00503764"/>
    <w:rsid w:val="00503FC9"/>
    <w:rsid w:val="00505B88"/>
    <w:rsid w:val="00506C68"/>
    <w:rsid w:val="005074EB"/>
    <w:rsid w:val="00510168"/>
    <w:rsid w:val="005101AC"/>
    <w:rsid w:val="00510F33"/>
    <w:rsid w:val="00510FC4"/>
    <w:rsid w:val="00511356"/>
    <w:rsid w:val="005114D9"/>
    <w:rsid w:val="00511561"/>
    <w:rsid w:val="00512179"/>
    <w:rsid w:val="00513FE6"/>
    <w:rsid w:val="00514AAC"/>
    <w:rsid w:val="005152FF"/>
    <w:rsid w:val="00515E5A"/>
    <w:rsid w:val="0051602A"/>
    <w:rsid w:val="0051680A"/>
    <w:rsid w:val="005172FF"/>
    <w:rsid w:val="00517504"/>
    <w:rsid w:val="005176B7"/>
    <w:rsid w:val="00517B8D"/>
    <w:rsid w:val="00520467"/>
    <w:rsid w:val="00520764"/>
    <w:rsid w:val="00522A51"/>
    <w:rsid w:val="00523C55"/>
    <w:rsid w:val="00524068"/>
    <w:rsid w:val="00525731"/>
    <w:rsid w:val="00525C5E"/>
    <w:rsid w:val="00526021"/>
    <w:rsid w:val="00526C8D"/>
    <w:rsid w:val="005314A5"/>
    <w:rsid w:val="0053185E"/>
    <w:rsid w:val="005319C2"/>
    <w:rsid w:val="0053259D"/>
    <w:rsid w:val="005326F9"/>
    <w:rsid w:val="005336E0"/>
    <w:rsid w:val="0053564D"/>
    <w:rsid w:val="005372EC"/>
    <w:rsid w:val="005415B2"/>
    <w:rsid w:val="00541B12"/>
    <w:rsid w:val="00543874"/>
    <w:rsid w:val="00543C90"/>
    <w:rsid w:val="0054424B"/>
    <w:rsid w:val="0054650E"/>
    <w:rsid w:val="00546BC8"/>
    <w:rsid w:val="0055106E"/>
    <w:rsid w:val="00551089"/>
    <w:rsid w:val="00553DB5"/>
    <w:rsid w:val="00553FA9"/>
    <w:rsid w:val="0055438B"/>
    <w:rsid w:val="00555AA4"/>
    <w:rsid w:val="005568B6"/>
    <w:rsid w:val="00556CB5"/>
    <w:rsid w:val="0056021A"/>
    <w:rsid w:val="00560D76"/>
    <w:rsid w:val="00567D19"/>
    <w:rsid w:val="0057002E"/>
    <w:rsid w:val="005701B2"/>
    <w:rsid w:val="00571C84"/>
    <w:rsid w:val="00572863"/>
    <w:rsid w:val="00573590"/>
    <w:rsid w:val="00573831"/>
    <w:rsid w:val="005743A9"/>
    <w:rsid w:val="00575822"/>
    <w:rsid w:val="005759F6"/>
    <w:rsid w:val="005778F5"/>
    <w:rsid w:val="0058066F"/>
    <w:rsid w:val="0058159E"/>
    <w:rsid w:val="00582B1D"/>
    <w:rsid w:val="0058346E"/>
    <w:rsid w:val="00585F9E"/>
    <w:rsid w:val="0058753F"/>
    <w:rsid w:val="0059115C"/>
    <w:rsid w:val="00593AA5"/>
    <w:rsid w:val="00595EFB"/>
    <w:rsid w:val="00596938"/>
    <w:rsid w:val="00596DBB"/>
    <w:rsid w:val="005A0560"/>
    <w:rsid w:val="005A0F4E"/>
    <w:rsid w:val="005A18B8"/>
    <w:rsid w:val="005A2287"/>
    <w:rsid w:val="005A2445"/>
    <w:rsid w:val="005A274B"/>
    <w:rsid w:val="005A2E9F"/>
    <w:rsid w:val="005A3B31"/>
    <w:rsid w:val="005A481F"/>
    <w:rsid w:val="005A6095"/>
    <w:rsid w:val="005A6E19"/>
    <w:rsid w:val="005A6E58"/>
    <w:rsid w:val="005A791A"/>
    <w:rsid w:val="005B0093"/>
    <w:rsid w:val="005B1424"/>
    <w:rsid w:val="005B1B34"/>
    <w:rsid w:val="005B2AAD"/>
    <w:rsid w:val="005B3352"/>
    <w:rsid w:val="005B3410"/>
    <w:rsid w:val="005B361E"/>
    <w:rsid w:val="005B3B95"/>
    <w:rsid w:val="005B4BFD"/>
    <w:rsid w:val="005B4E71"/>
    <w:rsid w:val="005B600C"/>
    <w:rsid w:val="005C1CA0"/>
    <w:rsid w:val="005C1DA7"/>
    <w:rsid w:val="005C22BF"/>
    <w:rsid w:val="005C23E4"/>
    <w:rsid w:val="005C3822"/>
    <w:rsid w:val="005C4381"/>
    <w:rsid w:val="005C6A36"/>
    <w:rsid w:val="005D1B3B"/>
    <w:rsid w:val="005D1FA6"/>
    <w:rsid w:val="005D24CD"/>
    <w:rsid w:val="005D2607"/>
    <w:rsid w:val="005D3832"/>
    <w:rsid w:val="005D5409"/>
    <w:rsid w:val="005D5F41"/>
    <w:rsid w:val="005D6E73"/>
    <w:rsid w:val="005E02D9"/>
    <w:rsid w:val="005E0D73"/>
    <w:rsid w:val="005E2503"/>
    <w:rsid w:val="005E2E9F"/>
    <w:rsid w:val="005E3321"/>
    <w:rsid w:val="005E366F"/>
    <w:rsid w:val="005E4387"/>
    <w:rsid w:val="005E55CC"/>
    <w:rsid w:val="005E695C"/>
    <w:rsid w:val="005E6E96"/>
    <w:rsid w:val="005F11A7"/>
    <w:rsid w:val="005F1D57"/>
    <w:rsid w:val="005F1F78"/>
    <w:rsid w:val="005F2031"/>
    <w:rsid w:val="005F2154"/>
    <w:rsid w:val="005F3567"/>
    <w:rsid w:val="005F558D"/>
    <w:rsid w:val="005F662E"/>
    <w:rsid w:val="005F67CB"/>
    <w:rsid w:val="005F6952"/>
    <w:rsid w:val="005F7C03"/>
    <w:rsid w:val="0060011D"/>
    <w:rsid w:val="00600A03"/>
    <w:rsid w:val="006018F0"/>
    <w:rsid w:val="00602851"/>
    <w:rsid w:val="006058E3"/>
    <w:rsid w:val="00605C49"/>
    <w:rsid w:val="00605DDA"/>
    <w:rsid w:val="00606012"/>
    <w:rsid w:val="00607136"/>
    <w:rsid w:val="0060744A"/>
    <w:rsid w:val="00607E33"/>
    <w:rsid w:val="00610470"/>
    <w:rsid w:val="006115CE"/>
    <w:rsid w:val="00612BD0"/>
    <w:rsid w:val="006132EB"/>
    <w:rsid w:val="0061404A"/>
    <w:rsid w:val="00617830"/>
    <w:rsid w:val="00623487"/>
    <w:rsid w:val="00623C0E"/>
    <w:rsid w:val="00625871"/>
    <w:rsid w:val="00630914"/>
    <w:rsid w:val="00631078"/>
    <w:rsid w:val="0063133B"/>
    <w:rsid w:val="006333A2"/>
    <w:rsid w:val="00634A77"/>
    <w:rsid w:val="0063708C"/>
    <w:rsid w:val="006375F6"/>
    <w:rsid w:val="00637B03"/>
    <w:rsid w:val="00642661"/>
    <w:rsid w:val="00643D05"/>
    <w:rsid w:val="00643E7E"/>
    <w:rsid w:val="006441BA"/>
    <w:rsid w:val="00645450"/>
    <w:rsid w:val="0064550C"/>
    <w:rsid w:val="006456E5"/>
    <w:rsid w:val="00645908"/>
    <w:rsid w:val="00645D5C"/>
    <w:rsid w:val="00646463"/>
    <w:rsid w:val="006501F0"/>
    <w:rsid w:val="00650D59"/>
    <w:rsid w:val="0065127D"/>
    <w:rsid w:val="006569CF"/>
    <w:rsid w:val="00656B86"/>
    <w:rsid w:val="006577BC"/>
    <w:rsid w:val="006622F0"/>
    <w:rsid w:val="00663155"/>
    <w:rsid w:val="00664B7A"/>
    <w:rsid w:val="00664C7D"/>
    <w:rsid w:val="00666130"/>
    <w:rsid w:val="0066650B"/>
    <w:rsid w:val="00670B12"/>
    <w:rsid w:val="00672EC5"/>
    <w:rsid w:val="00673280"/>
    <w:rsid w:val="00675B55"/>
    <w:rsid w:val="006761D6"/>
    <w:rsid w:val="00676D6D"/>
    <w:rsid w:val="00677250"/>
    <w:rsid w:val="00681729"/>
    <w:rsid w:val="00684542"/>
    <w:rsid w:val="0068457D"/>
    <w:rsid w:val="00684B2E"/>
    <w:rsid w:val="00685E61"/>
    <w:rsid w:val="00687BAB"/>
    <w:rsid w:val="00690A9A"/>
    <w:rsid w:val="006919D2"/>
    <w:rsid w:val="00692C49"/>
    <w:rsid w:val="00692E69"/>
    <w:rsid w:val="00693EEE"/>
    <w:rsid w:val="00696A9C"/>
    <w:rsid w:val="006971E4"/>
    <w:rsid w:val="006973CB"/>
    <w:rsid w:val="00697D97"/>
    <w:rsid w:val="006A3E85"/>
    <w:rsid w:val="006A3F38"/>
    <w:rsid w:val="006A41B1"/>
    <w:rsid w:val="006A6868"/>
    <w:rsid w:val="006A7019"/>
    <w:rsid w:val="006A7058"/>
    <w:rsid w:val="006B07C4"/>
    <w:rsid w:val="006B0A79"/>
    <w:rsid w:val="006B110E"/>
    <w:rsid w:val="006B17B3"/>
    <w:rsid w:val="006B1D03"/>
    <w:rsid w:val="006B223D"/>
    <w:rsid w:val="006B2681"/>
    <w:rsid w:val="006B419D"/>
    <w:rsid w:val="006B4CCA"/>
    <w:rsid w:val="006B7251"/>
    <w:rsid w:val="006C3B9B"/>
    <w:rsid w:val="006C3C86"/>
    <w:rsid w:val="006C4C77"/>
    <w:rsid w:val="006C604D"/>
    <w:rsid w:val="006C6240"/>
    <w:rsid w:val="006C6594"/>
    <w:rsid w:val="006C7EFF"/>
    <w:rsid w:val="006D04C3"/>
    <w:rsid w:val="006D0BF0"/>
    <w:rsid w:val="006D2C7E"/>
    <w:rsid w:val="006D3D81"/>
    <w:rsid w:val="006D4E28"/>
    <w:rsid w:val="006D5E99"/>
    <w:rsid w:val="006D6F30"/>
    <w:rsid w:val="006E0702"/>
    <w:rsid w:val="006E07DA"/>
    <w:rsid w:val="006E0ED3"/>
    <w:rsid w:val="006E144D"/>
    <w:rsid w:val="006E3928"/>
    <w:rsid w:val="006E3E1A"/>
    <w:rsid w:val="006E4F45"/>
    <w:rsid w:val="006E6058"/>
    <w:rsid w:val="006F10C0"/>
    <w:rsid w:val="006F19E3"/>
    <w:rsid w:val="006F2A46"/>
    <w:rsid w:val="006F3118"/>
    <w:rsid w:val="006F3583"/>
    <w:rsid w:val="006F7512"/>
    <w:rsid w:val="006F790F"/>
    <w:rsid w:val="007000E6"/>
    <w:rsid w:val="007019FB"/>
    <w:rsid w:val="007025CC"/>
    <w:rsid w:val="00702965"/>
    <w:rsid w:val="0070473A"/>
    <w:rsid w:val="0070521A"/>
    <w:rsid w:val="00705BDB"/>
    <w:rsid w:val="00705CF4"/>
    <w:rsid w:val="00706F75"/>
    <w:rsid w:val="00712292"/>
    <w:rsid w:val="007133E6"/>
    <w:rsid w:val="007140C1"/>
    <w:rsid w:val="007141D0"/>
    <w:rsid w:val="00714D1F"/>
    <w:rsid w:val="007156DE"/>
    <w:rsid w:val="00715E4B"/>
    <w:rsid w:val="00716CC2"/>
    <w:rsid w:val="007170FD"/>
    <w:rsid w:val="007172BB"/>
    <w:rsid w:val="0071788A"/>
    <w:rsid w:val="00717BC4"/>
    <w:rsid w:val="007208C3"/>
    <w:rsid w:val="00722990"/>
    <w:rsid w:val="00723196"/>
    <w:rsid w:val="0072343C"/>
    <w:rsid w:val="007239A8"/>
    <w:rsid w:val="00723FEE"/>
    <w:rsid w:val="00724DFB"/>
    <w:rsid w:val="00727079"/>
    <w:rsid w:val="00727A74"/>
    <w:rsid w:val="00727BE1"/>
    <w:rsid w:val="00727E7F"/>
    <w:rsid w:val="00730EA2"/>
    <w:rsid w:val="00731F23"/>
    <w:rsid w:val="00736318"/>
    <w:rsid w:val="0073694E"/>
    <w:rsid w:val="00737329"/>
    <w:rsid w:val="0074032F"/>
    <w:rsid w:val="0074064F"/>
    <w:rsid w:val="00741012"/>
    <w:rsid w:val="00743E33"/>
    <w:rsid w:val="00743FEA"/>
    <w:rsid w:val="007461BC"/>
    <w:rsid w:val="00747685"/>
    <w:rsid w:val="00747EA7"/>
    <w:rsid w:val="007510B3"/>
    <w:rsid w:val="00751105"/>
    <w:rsid w:val="00751316"/>
    <w:rsid w:val="00751D4C"/>
    <w:rsid w:val="007538CD"/>
    <w:rsid w:val="00753A7F"/>
    <w:rsid w:val="00753BE1"/>
    <w:rsid w:val="0075529B"/>
    <w:rsid w:val="00761718"/>
    <w:rsid w:val="00761DFB"/>
    <w:rsid w:val="0076328A"/>
    <w:rsid w:val="00764530"/>
    <w:rsid w:val="00764CE9"/>
    <w:rsid w:val="00764E40"/>
    <w:rsid w:val="00765602"/>
    <w:rsid w:val="00765C1D"/>
    <w:rsid w:val="00765C1E"/>
    <w:rsid w:val="0076687B"/>
    <w:rsid w:val="00770A49"/>
    <w:rsid w:val="00771469"/>
    <w:rsid w:val="00773604"/>
    <w:rsid w:val="00773646"/>
    <w:rsid w:val="00773B81"/>
    <w:rsid w:val="00775139"/>
    <w:rsid w:val="0077678D"/>
    <w:rsid w:val="007801E7"/>
    <w:rsid w:val="00780671"/>
    <w:rsid w:val="00780AD4"/>
    <w:rsid w:val="00780BF7"/>
    <w:rsid w:val="00781E9F"/>
    <w:rsid w:val="007823FC"/>
    <w:rsid w:val="00782990"/>
    <w:rsid w:val="00783528"/>
    <w:rsid w:val="00784FD2"/>
    <w:rsid w:val="00785AA6"/>
    <w:rsid w:val="007872DD"/>
    <w:rsid w:val="00787602"/>
    <w:rsid w:val="00790267"/>
    <w:rsid w:val="007916C5"/>
    <w:rsid w:val="00792418"/>
    <w:rsid w:val="00792466"/>
    <w:rsid w:val="00795EA8"/>
    <w:rsid w:val="0079755C"/>
    <w:rsid w:val="00797CA7"/>
    <w:rsid w:val="007A0060"/>
    <w:rsid w:val="007A00F0"/>
    <w:rsid w:val="007A1EAA"/>
    <w:rsid w:val="007A2157"/>
    <w:rsid w:val="007A387F"/>
    <w:rsid w:val="007A452E"/>
    <w:rsid w:val="007A460A"/>
    <w:rsid w:val="007A465C"/>
    <w:rsid w:val="007A5369"/>
    <w:rsid w:val="007A5372"/>
    <w:rsid w:val="007A67D8"/>
    <w:rsid w:val="007A756F"/>
    <w:rsid w:val="007B12E6"/>
    <w:rsid w:val="007B3CBB"/>
    <w:rsid w:val="007B4B26"/>
    <w:rsid w:val="007B5752"/>
    <w:rsid w:val="007B6A4D"/>
    <w:rsid w:val="007B7CDB"/>
    <w:rsid w:val="007C0A88"/>
    <w:rsid w:val="007C1A6A"/>
    <w:rsid w:val="007C2077"/>
    <w:rsid w:val="007C24E7"/>
    <w:rsid w:val="007C2736"/>
    <w:rsid w:val="007C28DE"/>
    <w:rsid w:val="007C79D5"/>
    <w:rsid w:val="007C7DFF"/>
    <w:rsid w:val="007D0C8C"/>
    <w:rsid w:val="007D0F67"/>
    <w:rsid w:val="007D0FF1"/>
    <w:rsid w:val="007D17D1"/>
    <w:rsid w:val="007D317F"/>
    <w:rsid w:val="007D3A4B"/>
    <w:rsid w:val="007D4A95"/>
    <w:rsid w:val="007E1017"/>
    <w:rsid w:val="007E1EEE"/>
    <w:rsid w:val="007E25F5"/>
    <w:rsid w:val="007E6584"/>
    <w:rsid w:val="007F2121"/>
    <w:rsid w:val="007F21D0"/>
    <w:rsid w:val="007F4A41"/>
    <w:rsid w:val="007F502F"/>
    <w:rsid w:val="007F6966"/>
    <w:rsid w:val="007F7D66"/>
    <w:rsid w:val="00804D0E"/>
    <w:rsid w:val="00805141"/>
    <w:rsid w:val="008055A9"/>
    <w:rsid w:val="0080595D"/>
    <w:rsid w:val="00805AB7"/>
    <w:rsid w:val="008072F2"/>
    <w:rsid w:val="00807DB4"/>
    <w:rsid w:val="00810007"/>
    <w:rsid w:val="008126E7"/>
    <w:rsid w:val="00812740"/>
    <w:rsid w:val="00813E15"/>
    <w:rsid w:val="008152C1"/>
    <w:rsid w:val="0081536B"/>
    <w:rsid w:val="00816702"/>
    <w:rsid w:val="00816896"/>
    <w:rsid w:val="00817233"/>
    <w:rsid w:val="00820D9C"/>
    <w:rsid w:val="00820E21"/>
    <w:rsid w:val="0082194E"/>
    <w:rsid w:val="008231B5"/>
    <w:rsid w:val="00823F7B"/>
    <w:rsid w:val="00830032"/>
    <w:rsid w:val="0083158C"/>
    <w:rsid w:val="00831E39"/>
    <w:rsid w:val="008326CE"/>
    <w:rsid w:val="008330D4"/>
    <w:rsid w:val="00833435"/>
    <w:rsid w:val="008340A7"/>
    <w:rsid w:val="008342E8"/>
    <w:rsid w:val="00835F8A"/>
    <w:rsid w:val="00836B8A"/>
    <w:rsid w:val="008371B6"/>
    <w:rsid w:val="00837695"/>
    <w:rsid w:val="00837CF0"/>
    <w:rsid w:val="00840059"/>
    <w:rsid w:val="00840C17"/>
    <w:rsid w:val="008425BF"/>
    <w:rsid w:val="00843F1E"/>
    <w:rsid w:val="00844C4B"/>
    <w:rsid w:val="00844CFC"/>
    <w:rsid w:val="008450C3"/>
    <w:rsid w:val="008451A9"/>
    <w:rsid w:val="008455E3"/>
    <w:rsid w:val="0084571E"/>
    <w:rsid w:val="00845996"/>
    <w:rsid w:val="00845FA8"/>
    <w:rsid w:val="008472E9"/>
    <w:rsid w:val="008510AD"/>
    <w:rsid w:val="00851BEA"/>
    <w:rsid w:val="00852725"/>
    <w:rsid w:val="00853827"/>
    <w:rsid w:val="008545AA"/>
    <w:rsid w:val="0085522C"/>
    <w:rsid w:val="00855FE7"/>
    <w:rsid w:val="00856A26"/>
    <w:rsid w:val="00856BA2"/>
    <w:rsid w:val="00856F8E"/>
    <w:rsid w:val="008615CA"/>
    <w:rsid w:val="0086255D"/>
    <w:rsid w:val="00863327"/>
    <w:rsid w:val="0086376C"/>
    <w:rsid w:val="00864BCE"/>
    <w:rsid w:val="00870B92"/>
    <w:rsid w:val="00872A23"/>
    <w:rsid w:val="008737D3"/>
    <w:rsid w:val="00875738"/>
    <w:rsid w:val="00876136"/>
    <w:rsid w:val="008774E1"/>
    <w:rsid w:val="008778B3"/>
    <w:rsid w:val="008865B9"/>
    <w:rsid w:val="008868DA"/>
    <w:rsid w:val="00886980"/>
    <w:rsid w:val="0088752C"/>
    <w:rsid w:val="00890FA3"/>
    <w:rsid w:val="0089101B"/>
    <w:rsid w:val="00891BD7"/>
    <w:rsid w:val="00894BC0"/>
    <w:rsid w:val="00894C74"/>
    <w:rsid w:val="008955CC"/>
    <w:rsid w:val="00895A56"/>
    <w:rsid w:val="00896559"/>
    <w:rsid w:val="00896689"/>
    <w:rsid w:val="00896BCF"/>
    <w:rsid w:val="00897B2B"/>
    <w:rsid w:val="008A032B"/>
    <w:rsid w:val="008A0962"/>
    <w:rsid w:val="008A400B"/>
    <w:rsid w:val="008A401A"/>
    <w:rsid w:val="008A5ACF"/>
    <w:rsid w:val="008A5FC9"/>
    <w:rsid w:val="008A7AA3"/>
    <w:rsid w:val="008A7FFE"/>
    <w:rsid w:val="008B028B"/>
    <w:rsid w:val="008B1A35"/>
    <w:rsid w:val="008B3831"/>
    <w:rsid w:val="008B610C"/>
    <w:rsid w:val="008B69EF"/>
    <w:rsid w:val="008B6EEC"/>
    <w:rsid w:val="008C0ED4"/>
    <w:rsid w:val="008C1D50"/>
    <w:rsid w:val="008C4952"/>
    <w:rsid w:val="008C5018"/>
    <w:rsid w:val="008C5433"/>
    <w:rsid w:val="008D0414"/>
    <w:rsid w:val="008D082F"/>
    <w:rsid w:val="008D0B89"/>
    <w:rsid w:val="008D16A5"/>
    <w:rsid w:val="008D2C03"/>
    <w:rsid w:val="008D4854"/>
    <w:rsid w:val="008D564F"/>
    <w:rsid w:val="008E019C"/>
    <w:rsid w:val="008E03B6"/>
    <w:rsid w:val="008E0D1C"/>
    <w:rsid w:val="008E41A2"/>
    <w:rsid w:val="008E4FCA"/>
    <w:rsid w:val="008E5E52"/>
    <w:rsid w:val="008E5F85"/>
    <w:rsid w:val="008E722C"/>
    <w:rsid w:val="008F0D0A"/>
    <w:rsid w:val="008F239C"/>
    <w:rsid w:val="008F455B"/>
    <w:rsid w:val="008F62E4"/>
    <w:rsid w:val="008F6FFD"/>
    <w:rsid w:val="008F758E"/>
    <w:rsid w:val="008F78A3"/>
    <w:rsid w:val="008F7902"/>
    <w:rsid w:val="008F7B77"/>
    <w:rsid w:val="008F7ED7"/>
    <w:rsid w:val="009005AC"/>
    <w:rsid w:val="00900D8C"/>
    <w:rsid w:val="00901AA4"/>
    <w:rsid w:val="0090261F"/>
    <w:rsid w:val="00902E0F"/>
    <w:rsid w:val="0090328F"/>
    <w:rsid w:val="00903CAB"/>
    <w:rsid w:val="009044B4"/>
    <w:rsid w:val="009050A8"/>
    <w:rsid w:val="00906624"/>
    <w:rsid w:val="00910E35"/>
    <w:rsid w:val="0091374C"/>
    <w:rsid w:val="00913B40"/>
    <w:rsid w:val="00915068"/>
    <w:rsid w:val="00916823"/>
    <w:rsid w:val="00916F5D"/>
    <w:rsid w:val="00917197"/>
    <w:rsid w:val="0091735E"/>
    <w:rsid w:val="00920088"/>
    <w:rsid w:val="009203FB"/>
    <w:rsid w:val="009207CE"/>
    <w:rsid w:val="0092091C"/>
    <w:rsid w:val="00920A72"/>
    <w:rsid w:val="00923982"/>
    <w:rsid w:val="00923B49"/>
    <w:rsid w:val="00926A6D"/>
    <w:rsid w:val="00926DA4"/>
    <w:rsid w:val="0093034A"/>
    <w:rsid w:val="00930E04"/>
    <w:rsid w:val="00930F35"/>
    <w:rsid w:val="009310A1"/>
    <w:rsid w:val="00931939"/>
    <w:rsid w:val="00931C7F"/>
    <w:rsid w:val="00933657"/>
    <w:rsid w:val="00937618"/>
    <w:rsid w:val="00937EFE"/>
    <w:rsid w:val="009406C2"/>
    <w:rsid w:val="009418C4"/>
    <w:rsid w:val="0094333F"/>
    <w:rsid w:val="0094374B"/>
    <w:rsid w:val="009454E3"/>
    <w:rsid w:val="009456C0"/>
    <w:rsid w:val="00945726"/>
    <w:rsid w:val="0094580E"/>
    <w:rsid w:val="00950C37"/>
    <w:rsid w:val="00951CDD"/>
    <w:rsid w:val="009524DD"/>
    <w:rsid w:val="00953E82"/>
    <w:rsid w:val="00953F48"/>
    <w:rsid w:val="00955C34"/>
    <w:rsid w:val="0095679A"/>
    <w:rsid w:val="00960219"/>
    <w:rsid w:val="009603AB"/>
    <w:rsid w:val="0096106E"/>
    <w:rsid w:val="0096504A"/>
    <w:rsid w:val="0096517E"/>
    <w:rsid w:val="00965D33"/>
    <w:rsid w:val="00965E52"/>
    <w:rsid w:val="009661F7"/>
    <w:rsid w:val="00967F4B"/>
    <w:rsid w:val="00970236"/>
    <w:rsid w:val="00970764"/>
    <w:rsid w:val="00971D68"/>
    <w:rsid w:val="00973782"/>
    <w:rsid w:val="00973E25"/>
    <w:rsid w:val="00974150"/>
    <w:rsid w:val="009743BF"/>
    <w:rsid w:val="00974944"/>
    <w:rsid w:val="00976CDC"/>
    <w:rsid w:val="009778C6"/>
    <w:rsid w:val="009808BE"/>
    <w:rsid w:val="00981BF2"/>
    <w:rsid w:val="009823E3"/>
    <w:rsid w:val="00982F44"/>
    <w:rsid w:val="00983EFD"/>
    <w:rsid w:val="009840CA"/>
    <w:rsid w:val="00986DE5"/>
    <w:rsid w:val="00990C13"/>
    <w:rsid w:val="00993B1A"/>
    <w:rsid w:val="00993F71"/>
    <w:rsid w:val="00995E43"/>
    <w:rsid w:val="00996DC2"/>
    <w:rsid w:val="009971DB"/>
    <w:rsid w:val="009A11F2"/>
    <w:rsid w:val="009A2E10"/>
    <w:rsid w:val="009A33B9"/>
    <w:rsid w:val="009A3FC7"/>
    <w:rsid w:val="009A52C0"/>
    <w:rsid w:val="009A70E9"/>
    <w:rsid w:val="009A753E"/>
    <w:rsid w:val="009B1698"/>
    <w:rsid w:val="009B1FC8"/>
    <w:rsid w:val="009B2EBA"/>
    <w:rsid w:val="009B3A91"/>
    <w:rsid w:val="009B3C8B"/>
    <w:rsid w:val="009B3F66"/>
    <w:rsid w:val="009B479B"/>
    <w:rsid w:val="009B5B7C"/>
    <w:rsid w:val="009B6D5A"/>
    <w:rsid w:val="009B6F8F"/>
    <w:rsid w:val="009B7E9C"/>
    <w:rsid w:val="009C05D6"/>
    <w:rsid w:val="009C07AB"/>
    <w:rsid w:val="009C09E9"/>
    <w:rsid w:val="009C14A2"/>
    <w:rsid w:val="009C18CC"/>
    <w:rsid w:val="009C3B11"/>
    <w:rsid w:val="009C4F76"/>
    <w:rsid w:val="009C5FA7"/>
    <w:rsid w:val="009C711A"/>
    <w:rsid w:val="009C750D"/>
    <w:rsid w:val="009C778B"/>
    <w:rsid w:val="009C7B6C"/>
    <w:rsid w:val="009D0B51"/>
    <w:rsid w:val="009D0C21"/>
    <w:rsid w:val="009D126F"/>
    <w:rsid w:val="009D1D7E"/>
    <w:rsid w:val="009D3171"/>
    <w:rsid w:val="009D3433"/>
    <w:rsid w:val="009D48C1"/>
    <w:rsid w:val="009D53E9"/>
    <w:rsid w:val="009D5E3D"/>
    <w:rsid w:val="009D64E2"/>
    <w:rsid w:val="009D67F2"/>
    <w:rsid w:val="009D6868"/>
    <w:rsid w:val="009D6CD4"/>
    <w:rsid w:val="009D72E6"/>
    <w:rsid w:val="009D7EBC"/>
    <w:rsid w:val="009E001B"/>
    <w:rsid w:val="009E0B33"/>
    <w:rsid w:val="009E0F8D"/>
    <w:rsid w:val="009E17E4"/>
    <w:rsid w:val="009E39A2"/>
    <w:rsid w:val="009E3C9A"/>
    <w:rsid w:val="009E3DD0"/>
    <w:rsid w:val="009E3F0B"/>
    <w:rsid w:val="009E6857"/>
    <w:rsid w:val="009E7273"/>
    <w:rsid w:val="009F0516"/>
    <w:rsid w:val="009F1DA9"/>
    <w:rsid w:val="009F215D"/>
    <w:rsid w:val="009F3912"/>
    <w:rsid w:val="009F41BB"/>
    <w:rsid w:val="009F4D67"/>
    <w:rsid w:val="009F6207"/>
    <w:rsid w:val="009F6466"/>
    <w:rsid w:val="009F7E0F"/>
    <w:rsid w:val="009F7FEA"/>
    <w:rsid w:val="00A00B55"/>
    <w:rsid w:val="00A0154F"/>
    <w:rsid w:val="00A0160F"/>
    <w:rsid w:val="00A01BF4"/>
    <w:rsid w:val="00A0400E"/>
    <w:rsid w:val="00A06E9A"/>
    <w:rsid w:val="00A10669"/>
    <w:rsid w:val="00A1182D"/>
    <w:rsid w:val="00A121CD"/>
    <w:rsid w:val="00A125F4"/>
    <w:rsid w:val="00A1268E"/>
    <w:rsid w:val="00A14C8F"/>
    <w:rsid w:val="00A15A15"/>
    <w:rsid w:val="00A2109E"/>
    <w:rsid w:val="00A218B8"/>
    <w:rsid w:val="00A229E5"/>
    <w:rsid w:val="00A2347E"/>
    <w:rsid w:val="00A239DC"/>
    <w:rsid w:val="00A26190"/>
    <w:rsid w:val="00A26796"/>
    <w:rsid w:val="00A27AB1"/>
    <w:rsid w:val="00A30002"/>
    <w:rsid w:val="00A30D1B"/>
    <w:rsid w:val="00A32B4B"/>
    <w:rsid w:val="00A33546"/>
    <w:rsid w:val="00A33B14"/>
    <w:rsid w:val="00A342E1"/>
    <w:rsid w:val="00A34B05"/>
    <w:rsid w:val="00A355A2"/>
    <w:rsid w:val="00A3711C"/>
    <w:rsid w:val="00A371C2"/>
    <w:rsid w:val="00A409DB"/>
    <w:rsid w:val="00A40D98"/>
    <w:rsid w:val="00A40F97"/>
    <w:rsid w:val="00A42733"/>
    <w:rsid w:val="00A42916"/>
    <w:rsid w:val="00A435D5"/>
    <w:rsid w:val="00A440CC"/>
    <w:rsid w:val="00A456B6"/>
    <w:rsid w:val="00A51DB6"/>
    <w:rsid w:val="00A56F18"/>
    <w:rsid w:val="00A611A3"/>
    <w:rsid w:val="00A628C2"/>
    <w:rsid w:val="00A62D65"/>
    <w:rsid w:val="00A6387A"/>
    <w:rsid w:val="00A64011"/>
    <w:rsid w:val="00A6590B"/>
    <w:rsid w:val="00A67DB5"/>
    <w:rsid w:val="00A701A6"/>
    <w:rsid w:val="00A719B1"/>
    <w:rsid w:val="00A755C4"/>
    <w:rsid w:val="00A76C7D"/>
    <w:rsid w:val="00A7740D"/>
    <w:rsid w:val="00A77DD3"/>
    <w:rsid w:val="00A81336"/>
    <w:rsid w:val="00A837D7"/>
    <w:rsid w:val="00A83A6E"/>
    <w:rsid w:val="00A84E9E"/>
    <w:rsid w:val="00A85B97"/>
    <w:rsid w:val="00A86039"/>
    <w:rsid w:val="00A9003E"/>
    <w:rsid w:val="00A90AB5"/>
    <w:rsid w:val="00A91188"/>
    <w:rsid w:val="00A925A0"/>
    <w:rsid w:val="00A92653"/>
    <w:rsid w:val="00A92BE0"/>
    <w:rsid w:val="00A92F9F"/>
    <w:rsid w:val="00A93E08"/>
    <w:rsid w:val="00A95AAD"/>
    <w:rsid w:val="00AA055D"/>
    <w:rsid w:val="00AA150D"/>
    <w:rsid w:val="00AA1760"/>
    <w:rsid w:val="00AA3088"/>
    <w:rsid w:val="00AA3C14"/>
    <w:rsid w:val="00AA436C"/>
    <w:rsid w:val="00AA5A27"/>
    <w:rsid w:val="00AA7CD1"/>
    <w:rsid w:val="00AB23C1"/>
    <w:rsid w:val="00AB38F4"/>
    <w:rsid w:val="00AB45D4"/>
    <w:rsid w:val="00AB5BAB"/>
    <w:rsid w:val="00AB5F98"/>
    <w:rsid w:val="00AB6F10"/>
    <w:rsid w:val="00AC2353"/>
    <w:rsid w:val="00AC35C1"/>
    <w:rsid w:val="00AC61B7"/>
    <w:rsid w:val="00AC6374"/>
    <w:rsid w:val="00AC67C3"/>
    <w:rsid w:val="00AD2633"/>
    <w:rsid w:val="00AD3784"/>
    <w:rsid w:val="00AD5C68"/>
    <w:rsid w:val="00AD67B0"/>
    <w:rsid w:val="00AD70B5"/>
    <w:rsid w:val="00AD7322"/>
    <w:rsid w:val="00AD7CCF"/>
    <w:rsid w:val="00AE24E4"/>
    <w:rsid w:val="00AE4332"/>
    <w:rsid w:val="00AE4CBB"/>
    <w:rsid w:val="00AE5B63"/>
    <w:rsid w:val="00AE71AB"/>
    <w:rsid w:val="00AE752C"/>
    <w:rsid w:val="00AE7724"/>
    <w:rsid w:val="00AE7A1F"/>
    <w:rsid w:val="00AF1002"/>
    <w:rsid w:val="00AF19F1"/>
    <w:rsid w:val="00AF24BC"/>
    <w:rsid w:val="00AF34C8"/>
    <w:rsid w:val="00AF4E74"/>
    <w:rsid w:val="00AF4FAC"/>
    <w:rsid w:val="00AF54B6"/>
    <w:rsid w:val="00AF5E59"/>
    <w:rsid w:val="00AF7766"/>
    <w:rsid w:val="00B00392"/>
    <w:rsid w:val="00B00490"/>
    <w:rsid w:val="00B0094B"/>
    <w:rsid w:val="00B00C6D"/>
    <w:rsid w:val="00B00EAB"/>
    <w:rsid w:val="00B02299"/>
    <w:rsid w:val="00B068B3"/>
    <w:rsid w:val="00B068DD"/>
    <w:rsid w:val="00B07239"/>
    <w:rsid w:val="00B07626"/>
    <w:rsid w:val="00B105F6"/>
    <w:rsid w:val="00B120E1"/>
    <w:rsid w:val="00B13239"/>
    <w:rsid w:val="00B13972"/>
    <w:rsid w:val="00B14EFC"/>
    <w:rsid w:val="00B155EE"/>
    <w:rsid w:val="00B15CB3"/>
    <w:rsid w:val="00B1741D"/>
    <w:rsid w:val="00B17AAB"/>
    <w:rsid w:val="00B21365"/>
    <w:rsid w:val="00B21DC5"/>
    <w:rsid w:val="00B22D09"/>
    <w:rsid w:val="00B25512"/>
    <w:rsid w:val="00B259C9"/>
    <w:rsid w:val="00B25E36"/>
    <w:rsid w:val="00B27072"/>
    <w:rsid w:val="00B275CA"/>
    <w:rsid w:val="00B27AE1"/>
    <w:rsid w:val="00B314C4"/>
    <w:rsid w:val="00B31887"/>
    <w:rsid w:val="00B3224F"/>
    <w:rsid w:val="00B3298C"/>
    <w:rsid w:val="00B32B48"/>
    <w:rsid w:val="00B34214"/>
    <w:rsid w:val="00B353BF"/>
    <w:rsid w:val="00B3623E"/>
    <w:rsid w:val="00B36A49"/>
    <w:rsid w:val="00B410BE"/>
    <w:rsid w:val="00B415F4"/>
    <w:rsid w:val="00B42B8E"/>
    <w:rsid w:val="00B42CFB"/>
    <w:rsid w:val="00B440A9"/>
    <w:rsid w:val="00B44916"/>
    <w:rsid w:val="00B47464"/>
    <w:rsid w:val="00B47BCE"/>
    <w:rsid w:val="00B520E0"/>
    <w:rsid w:val="00B53293"/>
    <w:rsid w:val="00B536E8"/>
    <w:rsid w:val="00B53B72"/>
    <w:rsid w:val="00B53EE6"/>
    <w:rsid w:val="00B54120"/>
    <w:rsid w:val="00B54A7C"/>
    <w:rsid w:val="00B556EA"/>
    <w:rsid w:val="00B633BA"/>
    <w:rsid w:val="00B638DC"/>
    <w:rsid w:val="00B64541"/>
    <w:rsid w:val="00B657CC"/>
    <w:rsid w:val="00B659C3"/>
    <w:rsid w:val="00B669C1"/>
    <w:rsid w:val="00B674F5"/>
    <w:rsid w:val="00B67F36"/>
    <w:rsid w:val="00B70615"/>
    <w:rsid w:val="00B71850"/>
    <w:rsid w:val="00B72282"/>
    <w:rsid w:val="00B73923"/>
    <w:rsid w:val="00B75906"/>
    <w:rsid w:val="00B76AA4"/>
    <w:rsid w:val="00B775B0"/>
    <w:rsid w:val="00B80CB1"/>
    <w:rsid w:val="00B8186B"/>
    <w:rsid w:val="00B81C03"/>
    <w:rsid w:val="00B81FC8"/>
    <w:rsid w:val="00B8229E"/>
    <w:rsid w:val="00B828B2"/>
    <w:rsid w:val="00B82B2D"/>
    <w:rsid w:val="00B83069"/>
    <w:rsid w:val="00B83A81"/>
    <w:rsid w:val="00B83B6B"/>
    <w:rsid w:val="00B84341"/>
    <w:rsid w:val="00B874C6"/>
    <w:rsid w:val="00B907B8"/>
    <w:rsid w:val="00B912DF"/>
    <w:rsid w:val="00B91337"/>
    <w:rsid w:val="00B91D88"/>
    <w:rsid w:val="00B92F3C"/>
    <w:rsid w:val="00B93208"/>
    <w:rsid w:val="00B93826"/>
    <w:rsid w:val="00B94F6D"/>
    <w:rsid w:val="00B95954"/>
    <w:rsid w:val="00B9719B"/>
    <w:rsid w:val="00BA11C5"/>
    <w:rsid w:val="00BA19A8"/>
    <w:rsid w:val="00BA24DA"/>
    <w:rsid w:val="00BA2886"/>
    <w:rsid w:val="00BA34BA"/>
    <w:rsid w:val="00BA49A6"/>
    <w:rsid w:val="00BA511B"/>
    <w:rsid w:val="00BA5F34"/>
    <w:rsid w:val="00BA6E3B"/>
    <w:rsid w:val="00BA7F0F"/>
    <w:rsid w:val="00BB018B"/>
    <w:rsid w:val="00BB05E7"/>
    <w:rsid w:val="00BB0C23"/>
    <w:rsid w:val="00BB2553"/>
    <w:rsid w:val="00BB33FC"/>
    <w:rsid w:val="00BB3410"/>
    <w:rsid w:val="00BB34E0"/>
    <w:rsid w:val="00BB47DE"/>
    <w:rsid w:val="00BB5FDA"/>
    <w:rsid w:val="00BB6E59"/>
    <w:rsid w:val="00BB7259"/>
    <w:rsid w:val="00BB7F86"/>
    <w:rsid w:val="00BC08A1"/>
    <w:rsid w:val="00BC10AE"/>
    <w:rsid w:val="00BC122C"/>
    <w:rsid w:val="00BC1C87"/>
    <w:rsid w:val="00BC1CC4"/>
    <w:rsid w:val="00BC3555"/>
    <w:rsid w:val="00BC5EEE"/>
    <w:rsid w:val="00BD0634"/>
    <w:rsid w:val="00BD0E16"/>
    <w:rsid w:val="00BD1208"/>
    <w:rsid w:val="00BD1EFC"/>
    <w:rsid w:val="00BD2178"/>
    <w:rsid w:val="00BD29DC"/>
    <w:rsid w:val="00BD3A6D"/>
    <w:rsid w:val="00BD739B"/>
    <w:rsid w:val="00BD776F"/>
    <w:rsid w:val="00BE0C13"/>
    <w:rsid w:val="00BE13FB"/>
    <w:rsid w:val="00BE3126"/>
    <w:rsid w:val="00BE37DA"/>
    <w:rsid w:val="00BE5634"/>
    <w:rsid w:val="00BE5A5F"/>
    <w:rsid w:val="00BE72F0"/>
    <w:rsid w:val="00BF2296"/>
    <w:rsid w:val="00BF2534"/>
    <w:rsid w:val="00BF5150"/>
    <w:rsid w:val="00BF58C1"/>
    <w:rsid w:val="00BF67C7"/>
    <w:rsid w:val="00C00D4B"/>
    <w:rsid w:val="00C03221"/>
    <w:rsid w:val="00C04718"/>
    <w:rsid w:val="00C0558B"/>
    <w:rsid w:val="00C05BCD"/>
    <w:rsid w:val="00C10227"/>
    <w:rsid w:val="00C10A6A"/>
    <w:rsid w:val="00C10BB1"/>
    <w:rsid w:val="00C11C5B"/>
    <w:rsid w:val="00C120DA"/>
    <w:rsid w:val="00C1212E"/>
    <w:rsid w:val="00C13699"/>
    <w:rsid w:val="00C13BA0"/>
    <w:rsid w:val="00C1445E"/>
    <w:rsid w:val="00C14599"/>
    <w:rsid w:val="00C149C1"/>
    <w:rsid w:val="00C16D6D"/>
    <w:rsid w:val="00C17182"/>
    <w:rsid w:val="00C1758B"/>
    <w:rsid w:val="00C17B56"/>
    <w:rsid w:val="00C2066E"/>
    <w:rsid w:val="00C212D7"/>
    <w:rsid w:val="00C22D1B"/>
    <w:rsid w:val="00C255DC"/>
    <w:rsid w:val="00C26056"/>
    <w:rsid w:val="00C2723A"/>
    <w:rsid w:val="00C279F0"/>
    <w:rsid w:val="00C31E33"/>
    <w:rsid w:val="00C32966"/>
    <w:rsid w:val="00C33A3A"/>
    <w:rsid w:val="00C3501C"/>
    <w:rsid w:val="00C36920"/>
    <w:rsid w:val="00C3790B"/>
    <w:rsid w:val="00C37E37"/>
    <w:rsid w:val="00C41295"/>
    <w:rsid w:val="00C41331"/>
    <w:rsid w:val="00C42822"/>
    <w:rsid w:val="00C42AC5"/>
    <w:rsid w:val="00C42AFE"/>
    <w:rsid w:val="00C4306A"/>
    <w:rsid w:val="00C45265"/>
    <w:rsid w:val="00C45616"/>
    <w:rsid w:val="00C45821"/>
    <w:rsid w:val="00C46585"/>
    <w:rsid w:val="00C46DE2"/>
    <w:rsid w:val="00C46F93"/>
    <w:rsid w:val="00C47B3C"/>
    <w:rsid w:val="00C549FE"/>
    <w:rsid w:val="00C562D0"/>
    <w:rsid w:val="00C57C3C"/>
    <w:rsid w:val="00C60C91"/>
    <w:rsid w:val="00C60DB2"/>
    <w:rsid w:val="00C627F0"/>
    <w:rsid w:val="00C62E1F"/>
    <w:rsid w:val="00C63167"/>
    <w:rsid w:val="00C6368D"/>
    <w:rsid w:val="00C63995"/>
    <w:rsid w:val="00C64B19"/>
    <w:rsid w:val="00C6644F"/>
    <w:rsid w:val="00C66BB2"/>
    <w:rsid w:val="00C70013"/>
    <w:rsid w:val="00C7024F"/>
    <w:rsid w:val="00C70676"/>
    <w:rsid w:val="00C71B06"/>
    <w:rsid w:val="00C75111"/>
    <w:rsid w:val="00C7587C"/>
    <w:rsid w:val="00C75EF3"/>
    <w:rsid w:val="00C75F96"/>
    <w:rsid w:val="00C7630B"/>
    <w:rsid w:val="00C77970"/>
    <w:rsid w:val="00C80D84"/>
    <w:rsid w:val="00C812A1"/>
    <w:rsid w:val="00C82DE3"/>
    <w:rsid w:val="00C83FC3"/>
    <w:rsid w:val="00C84A64"/>
    <w:rsid w:val="00C84B6B"/>
    <w:rsid w:val="00C85914"/>
    <w:rsid w:val="00C85DDB"/>
    <w:rsid w:val="00C86263"/>
    <w:rsid w:val="00C87790"/>
    <w:rsid w:val="00C90F44"/>
    <w:rsid w:val="00C913D5"/>
    <w:rsid w:val="00C9189E"/>
    <w:rsid w:val="00C93F4B"/>
    <w:rsid w:val="00C94882"/>
    <w:rsid w:val="00C94B27"/>
    <w:rsid w:val="00C954FE"/>
    <w:rsid w:val="00C9612B"/>
    <w:rsid w:val="00C96DAF"/>
    <w:rsid w:val="00C972AC"/>
    <w:rsid w:val="00C97B60"/>
    <w:rsid w:val="00C97E0C"/>
    <w:rsid w:val="00CA0BDD"/>
    <w:rsid w:val="00CA245D"/>
    <w:rsid w:val="00CA2532"/>
    <w:rsid w:val="00CA2FDA"/>
    <w:rsid w:val="00CA349D"/>
    <w:rsid w:val="00CA38E8"/>
    <w:rsid w:val="00CA5421"/>
    <w:rsid w:val="00CA58A2"/>
    <w:rsid w:val="00CA6997"/>
    <w:rsid w:val="00CA6A5B"/>
    <w:rsid w:val="00CA7B1C"/>
    <w:rsid w:val="00CB01A4"/>
    <w:rsid w:val="00CB31AA"/>
    <w:rsid w:val="00CB40D7"/>
    <w:rsid w:val="00CB4E85"/>
    <w:rsid w:val="00CB4F01"/>
    <w:rsid w:val="00CB55D4"/>
    <w:rsid w:val="00CB5E05"/>
    <w:rsid w:val="00CB67F3"/>
    <w:rsid w:val="00CB6C50"/>
    <w:rsid w:val="00CC1A76"/>
    <w:rsid w:val="00CC1D75"/>
    <w:rsid w:val="00CC444A"/>
    <w:rsid w:val="00CC522D"/>
    <w:rsid w:val="00CC796E"/>
    <w:rsid w:val="00CD2B74"/>
    <w:rsid w:val="00CD4E31"/>
    <w:rsid w:val="00CD627B"/>
    <w:rsid w:val="00CE0874"/>
    <w:rsid w:val="00CE29AF"/>
    <w:rsid w:val="00CE2CB9"/>
    <w:rsid w:val="00CE4770"/>
    <w:rsid w:val="00CE47DD"/>
    <w:rsid w:val="00CE4A70"/>
    <w:rsid w:val="00CE5638"/>
    <w:rsid w:val="00CE5FA5"/>
    <w:rsid w:val="00CE65EF"/>
    <w:rsid w:val="00CE6C71"/>
    <w:rsid w:val="00CF2C2C"/>
    <w:rsid w:val="00CF5F84"/>
    <w:rsid w:val="00CF71CA"/>
    <w:rsid w:val="00D001DF"/>
    <w:rsid w:val="00D01350"/>
    <w:rsid w:val="00D0155D"/>
    <w:rsid w:val="00D02603"/>
    <w:rsid w:val="00D02B17"/>
    <w:rsid w:val="00D04FD3"/>
    <w:rsid w:val="00D05844"/>
    <w:rsid w:val="00D05FBE"/>
    <w:rsid w:val="00D06CBD"/>
    <w:rsid w:val="00D07238"/>
    <w:rsid w:val="00D07C5F"/>
    <w:rsid w:val="00D10B3D"/>
    <w:rsid w:val="00D12B4F"/>
    <w:rsid w:val="00D13DDC"/>
    <w:rsid w:val="00D14A05"/>
    <w:rsid w:val="00D14EF3"/>
    <w:rsid w:val="00D155BF"/>
    <w:rsid w:val="00D16753"/>
    <w:rsid w:val="00D16D33"/>
    <w:rsid w:val="00D17F6A"/>
    <w:rsid w:val="00D20FDD"/>
    <w:rsid w:val="00D23B93"/>
    <w:rsid w:val="00D24725"/>
    <w:rsid w:val="00D252AE"/>
    <w:rsid w:val="00D25E39"/>
    <w:rsid w:val="00D262C7"/>
    <w:rsid w:val="00D27023"/>
    <w:rsid w:val="00D31032"/>
    <w:rsid w:val="00D33919"/>
    <w:rsid w:val="00D33B06"/>
    <w:rsid w:val="00D33B40"/>
    <w:rsid w:val="00D33FF5"/>
    <w:rsid w:val="00D3585A"/>
    <w:rsid w:val="00D35A7C"/>
    <w:rsid w:val="00D35D8F"/>
    <w:rsid w:val="00D3658F"/>
    <w:rsid w:val="00D4144F"/>
    <w:rsid w:val="00D41D8C"/>
    <w:rsid w:val="00D41DA3"/>
    <w:rsid w:val="00D428F7"/>
    <w:rsid w:val="00D43B3A"/>
    <w:rsid w:val="00D455A6"/>
    <w:rsid w:val="00D4679C"/>
    <w:rsid w:val="00D47C55"/>
    <w:rsid w:val="00D501E5"/>
    <w:rsid w:val="00D51AB8"/>
    <w:rsid w:val="00D5273D"/>
    <w:rsid w:val="00D52802"/>
    <w:rsid w:val="00D539E4"/>
    <w:rsid w:val="00D53BC2"/>
    <w:rsid w:val="00D55F89"/>
    <w:rsid w:val="00D56B1E"/>
    <w:rsid w:val="00D574F3"/>
    <w:rsid w:val="00D5798D"/>
    <w:rsid w:val="00D57C72"/>
    <w:rsid w:val="00D57EF5"/>
    <w:rsid w:val="00D60A8D"/>
    <w:rsid w:val="00D61FBA"/>
    <w:rsid w:val="00D629E1"/>
    <w:rsid w:val="00D63EEB"/>
    <w:rsid w:val="00D64387"/>
    <w:rsid w:val="00D64F56"/>
    <w:rsid w:val="00D674CC"/>
    <w:rsid w:val="00D67654"/>
    <w:rsid w:val="00D677F2"/>
    <w:rsid w:val="00D67E87"/>
    <w:rsid w:val="00D70248"/>
    <w:rsid w:val="00D70A2B"/>
    <w:rsid w:val="00D716B0"/>
    <w:rsid w:val="00D7262C"/>
    <w:rsid w:val="00D75104"/>
    <w:rsid w:val="00D7635B"/>
    <w:rsid w:val="00D76716"/>
    <w:rsid w:val="00D76AEF"/>
    <w:rsid w:val="00D76F1E"/>
    <w:rsid w:val="00D81301"/>
    <w:rsid w:val="00D813E2"/>
    <w:rsid w:val="00D81BFA"/>
    <w:rsid w:val="00D8229C"/>
    <w:rsid w:val="00D83526"/>
    <w:rsid w:val="00D84651"/>
    <w:rsid w:val="00D8502F"/>
    <w:rsid w:val="00D857F8"/>
    <w:rsid w:val="00D85B97"/>
    <w:rsid w:val="00D85FDA"/>
    <w:rsid w:val="00D908F4"/>
    <w:rsid w:val="00D9185F"/>
    <w:rsid w:val="00D91E46"/>
    <w:rsid w:val="00D92AA7"/>
    <w:rsid w:val="00D9333C"/>
    <w:rsid w:val="00D936B6"/>
    <w:rsid w:val="00D95818"/>
    <w:rsid w:val="00D97012"/>
    <w:rsid w:val="00D976DF"/>
    <w:rsid w:val="00DA039C"/>
    <w:rsid w:val="00DA11C6"/>
    <w:rsid w:val="00DA145F"/>
    <w:rsid w:val="00DA1B24"/>
    <w:rsid w:val="00DA1B66"/>
    <w:rsid w:val="00DA29C1"/>
    <w:rsid w:val="00DA5A12"/>
    <w:rsid w:val="00DA5AA7"/>
    <w:rsid w:val="00DA60E3"/>
    <w:rsid w:val="00DA63A7"/>
    <w:rsid w:val="00DB1A1B"/>
    <w:rsid w:val="00DB1AC4"/>
    <w:rsid w:val="00DB1D2D"/>
    <w:rsid w:val="00DB2473"/>
    <w:rsid w:val="00DB4094"/>
    <w:rsid w:val="00DB4362"/>
    <w:rsid w:val="00DB47E3"/>
    <w:rsid w:val="00DC0710"/>
    <w:rsid w:val="00DC1426"/>
    <w:rsid w:val="00DC1ABB"/>
    <w:rsid w:val="00DC2239"/>
    <w:rsid w:val="00DC28BA"/>
    <w:rsid w:val="00DC2970"/>
    <w:rsid w:val="00DC2D28"/>
    <w:rsid w:val="00DC71AE"/>
    <w:rsid w:val="00DC79A6"/>
    <w:rsid w:val="00DC7B52"/>
    <w:rsid w:val="00DC7D05"/>
    <w:rsid w:val="00DD07B5"/>
    <w:rsid w:val="00DD0917"/>
    <w:rsid w:val="00DD111C"/>
    <w:rsid w:val="00DD1A62"/>
    <w:rsid w:val="00DD1B63"/>
    <w:rsid w:val="00DD2DE7"/>
    <w:rsid w:val="00DD3F4A"/>
    <w:rsid w:val="00DD55B5"/>
    <w:rsid w:val="00DD63B2"/>
    <w:rsid w:val="00DE106F"/>
    <w:rsid w:val="00DE2018"/>
    <w:rsid w:val="00DE318F"/>
    <w:rsid w:val="00DE3E7A"/>
    <w:rsid w:val="00DE41E7"/>
    <w:rsid w:val="00DE4B44"/>
    <w:rsid w:val="00DE4FC5"/>
    <w:rsid w:val="00DE6BB8"/>
    <w:rsid w:val="00DF4208"/>
    <w:rsid w:val="00DF516D"/>
    <w:rsid w:val="00DF5BA7"/>
    <w:rsid w:val="00DF6D7F"/>
    <w:rsid w:val="00E02448"/>
    <w:rsid w:val="00E0256C"/>
    <w:rsid w:val="00E03D39"/>
    <w:rsid w:val="00E04982"/>
    <w:rsid w:val="00E05C2A"/>
    <w:rsid w:val="00E0758D"/>
    <w:rsid w:val="00E078B5"/>
    <w:rsid w:val="00E10815"/>
    <w:rsid w:val="00E10DA1"/>
    <w:rsid w:val="00E11268"/>
    <w:rsid w:val="00E1349C"/>
    <w:rsid w:val="00E13DF6"/>
    <w:rsid w:val="00E14630"/>
    <w:rsid w:val="00E14982"/>
    <w:rsid w:val="00E15906"/>
    <w:rsid w:val="00E16CF0"/>
    <w:rsid w:val="00E17D43"/>
    <w:rsid w:val="00E20685"/>
    <w:rsid w:val="00E20785"/>
    <w:rsid w:val="00E20C2D"/>
    <w:rsid w:val="00E20E11"/>
    <w:rsid w:val="00E21309"/>
    <w:rsid w:val="00E22B76"/>
    <w:rsid w:val="00E22FC6"/>
    <w:rsid w:val="00E23369"/>
    <w:rsid w:val="00E244DD"/>
    <w:rsid w:val="00E2506B"/>
    <w:rsid w:val="00E268C3"/>
    <w:rsid w:val="00E2781C"/>
    <w:rsid w:val="00E279FA"/>
    <w:rsid w:val="00E321FE"/>
    <w:rsid w:val="00E32519"/>
    <w:rsid w:val="00E3376B"/>
    <w:rsid w:val="00E368D7"/>
    <w:rsid w:val="00E374F0"/>
    <w:rsid w:val="00E4072F"/>
    <w:rsid w:val="00E40A36"/>
    <w:rsid w:val="00E41E7C"/>
    <w:rsid w:val="00E43549"/>
    <w:rsid w:val="00E44A7F"/>
    <w:rsid w:val="00E4563C"/>
    <w:rsid w:val="00E47526"/>
    <w:rsid w:val="00E476E0"/>
    <w:rsid w:val="00E47901"/>
    <w:rsid w:val="00E47A69"/>
    <w:rsid w:val="00E514AE"/>
    <w:rsid w:val="00E5189F"/>
    <w:rsid w:val="00E52971"/>
    <w:rsid w:val="00E542AC"/>
    <w:rsid w:val="00E54584"/>
    <w:rsid w:val="00E5478A"/>
    <w:rsid w:val="00E54A51"/>
    <w:rsid w:val="00E55069"/>
    <w:rsid w:val="00E556F3"/>
    <w:rsid w:val="00E557B3"/>
    <w:rsid w:val="00E55A53"/>
    <w:rsid w:val="00E55CB1"/>
    <w:rsid w:val="00E56A2A"/>
    <w:rsid w:val="00E602C1"/>
    <w:rsid w:val="00E6465B"/>
    <w:rsid w:val="00E64848"/>
    <w:rsid w:val="00E671B1"/>
    <w:rsid w:val="00E67AEB"/>
    <w:rsid w:val="00E7023A"/>
    <w:rsid w:val="00E74481"/>
    <w:rsid w:val="00E768F5"/>
    <w:rsid w:val="00E76DB5"/>
    <w:rsid w:val="00E77ED2"/>
    <w:rsid w:val="00E81AE7"/>
    <w:rsid w:val="00E81F55"/>
    <w:rsid w:val="00E83494"/>
    <w:rsid w:val="00E843F4"/>
    <w:rsid w:val="00E84806"/>
    <w:rsid w:val="00E85A08"/>
    <w:rsid w:val="00E85B74"/>
    <w:rsid w:val="00E8646C"/>
    <w:rsid w:val="00E8677F"/>
    <w:rsid w:val="00E87CF1"/>
    <w:rsid w:val="00E9167E"/>
    <w:rsid w:val="00E92B71"/>
    <w:rsid w:val="00E93212"/>
    <w:rsid w:val="00E94068"/>
    <w:rsid w:val="00E9408A"/>
    <w:rsid w:val="00E94339"/>
    <w:rsid w:val="00E95082"/>
    <w:rsid w:val="00E96559"/>
    <w:rsid w:val="00E96E15"/>
    <w:rsid w:val="00E9773E"/>
    <w:rsid w:val="00E97A83"/>
    <w:rsid w:val="00EA06BE"/>
    <w:rsid w:val="00EA273B"/>
    <w:rsid w:val="00EA3A2B"/>
    <w:rsid w:val="00EA543E"/>
    <w:rsid w:val="00EA6F4F"/>
    <w:rsid w:val="00EA71D4"/>
    <w:rsid w:val="00EA7323"/>
    <w:rsid w:val="00EB2030"/>
    <w:rsid w:val="00EB2563"/>
    <w:rsid w:val="00EB45D2"/>
    <w:rsid w:val="00EC07A2"/>
    <w:rsid w:val="00EC09E5"/>
    <w:rsid w:val="00EC10DB"/>
    <w:rsid w:val="00EC1251"/>
    <w:rsid w:val="00EC24BA"/>
    <w:rsid w:val="00EC2AB6"/>
    <w:rsid w:val="00EC3B94"/>
    <w:rsid w:val="00EC4A2D"/>
    <w:rsid w:val="00EC6B49"/>
    <w:rsid w:val="00ED027B"/>
    <w:rsid w:val="00ED0795"/>
    <w:rsid w:val="00ED0826"/>
    <w:rsid w:val="00ED084E"/>
    <w:rsid w:val="00ED091A"/>
    <w:rsid w:val="00ED1023"/>
    <w:rsid w:val="00ED1C77"/>
    <w:rsid w:val="00ED23B8"/>
    <w:rsid w:val="00ED2797"/>
    <w:rsid w:val="00ED339B"/>
    <w:rsid w:val="00ED461B"/>
    <w:rsid w:val="00ED4D39"/>
    <w:rsid w:val="00ED6CA4"/>
    <w:rsid w:val="00ED7ABC"/>
    <w:rsid w:val="00ED7EF4"/>
    <w:rsid w:val="00EE1F6C"/>
    <w:rsid w:val="00EE35A1"/>
    <w:rsid w:val="00EE4086"/>
    <w:rsid w:val="00EE62CE"/>
    <w:rsid w:val="00EF2552"/>
    <w:rsid w:val="00EF30E1"/>
    <w:rsid w:val="00EF3575"/>
    <w:rsid w:val="00EF4B7F"/>
    <w:rsid w:val="00EF6580"/>
    <w:rsid w:val="00EF7177"/>
    <w:rsid w:val="00F0002B"/>
    <w:rsid w:val="00F000ED"/>
    <w:rsid w:val="00F006E3"/>
    <w:rsid w:val="00F00BBB"/>
    <w:rsid w:val="00F0269B"/>
    <w:rsid w:val="00F02AE9"/>
    <w:rsid w:val="00F03172"/>
    <w:rsid w:val="00F035E7"/>
    <w:rsid w:val="00F040C1"/>
    <w:rsid w:val="00F05470"/>
    <w:rsid w:val="00F05C11"/>
    <w:rsid w:val="00F064D8"/>
    <w:rsid w:val="00F10386"/>
    <w:rsid w:val="00F105FA"/>
    <w:rsid w:val="00F1177F"/>
    <w:rsid w:val="00F12A6D"/>
    <w:rsid w:val="00F12C41"/>
    <w:rsid w:val="00F13241"/>
    <w:rsid w:val="00F14451"/>
    <w:rsid w:val="00F14BC9"/>
    <w:rsid w:val="00F15703"/>
    <w:rsid w:val="00F16281"/>
    <w:rsid w:val="00F20D8C"/>
    <w:rsid w:val="00F2154E"/>
    <w:rsid w:val="00F22236"/>
    <w:rsid w:val="00F23515"/>
    <w:rsid w:val="00F24D1A"/>
    <w:rsid w:val="00F25220"/>
    <w:rsid w:val="00F255D8"/>
    <w:rsid w:val="00F2777E"/>
    <w:rsid w:val="00F31ADD"/>
    <w:rsid w:val="00F31E5A"/>
    <w:rsid w:val="00F327E0"/>
    <w:rsid w:val="00F32B94"/>
    <w:rsid w:val="00F32BCC"/>
    <w:rsid w:val="00F35258"/>
    <w:rsid w:val="00F36889"/>
    <w:rsid w:val="00F370CA"/>
    <w:rsid w:val="00F372EF"/>
    <w:rsid w:val="00F379DB"/>
    <w:rsid w:val="00F40039"/>
    <w:rsid w:val="00F4082C"/>
    <w:rsid w:val="00F4139D"/>
    <w:rsid w:val="00F414FF"/>
    <w:rsid w:val="00F4265D"/>
    <w:rsid w:val="00F4364D"/>
    <w:rsid w:val="00F45E08"/>
    <w:rsid w:val="00F461D3"/>
    <w:rsid w:val="00F46CAE"/>
    <w:rsid w:val="00F46EAC"/>
    <w:rsid w:val="00F51E13"/>
    <w:rsid w:val="00F55E3D"/>
    <w:rsid w:val="00F57E0E"/>
    <w:rsid w:val="00F616D3"/>
    <w:rsid w:val="00F61EF5"/>
    <w:rsid w:val="00F631BE"/>
    <w:rsid w:val="00F640B2"/>
    <w:rsid w:val="00F64AC0"/>
    <w:rsid w:val="00F65127"/>
    <w:rsid w:val="00F66016"/>
    <w:rsid w:val="00F67976"/>
    <w:rsid w:val="00F67F42"/>
    <w:rsid w:val="00F70330"/>
    <w:rsid w:val="00F709C9"/>
    <w:rsid w:val="00F71146"/>
    <w:rsid w:val="00F71DC3"/>
    <w:rsid w:val="00F7241F"/>
    <w:rsid w:val="00F7322F"/>
    <w:rsid w:val="00F7711B"/>
    <w:rsid w:val="00F77713"/>
    <w:rsid w:val="00F77817"/>
    <w:rsid w:val="00F81815"/>
    <w:rsid w:val="00F86517"/>
    <w:rsid w:val="00F9016E"/>
    <w:rsid w:val="00F90C72"/>
    <w:rsid w:val="00F91D9B"/>
    <w:rsid w:val="00F9221D"/>
    <w:rsid w:val="00F955B6"/>
    <w:rsid w:val="00F970B0"/>
    <w:rsid w:val="00FA3B71"/>
    <w:rsid w:val="00FA5AE4"/>
    <w:rsid w:val="00FA64F6"/>
    <w:rsid w:val="00FA708B"/>
    <w:rsid w:val="00FA7CD1"/>
    <w:rsid w:val="00FB097E"/>
    <w:rsid w:val="00FB403E"/>
    <w:rsid w:val="00FB45D0"/>
    <w:rsid w:val="00FB5AE8"/>
    <w:rsid w:val="00FB5C62"/>
    <w:rsid w:val="00FB5D76"/>
    <w:rsid w:val="00FC0C4E"/>
    <w:rsid w:val="00FC22D1"/>
    <w:rsid w:val="00FC5C3A"/>
    <w:rsid w:val="00FC709E"/>
    <w:rsid w:val="00FC7EFF"/>
    <w:rsid w:val="00FD0C85"/>
    <w:rsid w:val="00FD3140"/>
    <w:rsid w:val="00FD4C64"/>
    <w:rsid w:val="00FD5379"/>
    <w:rsid w:val="00FD6CA3"/>
    <w:rsid w:val="00FD704A"/>
    <w:rsid w:val="00FD76D6"/>
    <w:rsid w:val="00FD7B16"/>
    <w:rsid w:val="00FE17A1"/>
    <w:rsid w:val="00FE4568"/>
    <w:rsid w:val="00FE48ED"/>
    <w:rsid w:val="00FE4CFB"/>
    <w:rsid w:val="00FE5F10"/>
    <w:rsid w:val="00FE6B49"/>
    <w:rsid w:val="00FE79E8"/>
    <w:rsid w:val="00FF17E1"/>
    <w:rsid w:val="00FF242F"/>
    <w:rsid w:val="00FF4F96"/>
    <w:rsid w:val="00FF55B6"/>
    <w:rsid w:val="00FF5E5E"/>
    <w:rsid w:val="00FF62B6"/>
    <w:rsid w:val="00FF7DF4"/>
    <w:rsid w:val="01001EE7"/>
    <w:rsid w:val="01294077"/>
    <w:rsid w:val="02806854"/>
    <w:rsid w:val="04E9FBDA"/>
    <w:rsid w:val="0537D339"/>
    <w:rsid w:val="059DA9DE"/>
    <w:rsid w:val="084D46C7"/>
    <w:rsid w:val="09432873"/>
    <w:rsid w:val="0A28DE40"/>
    <w:rsid w:val="0A8AA805"/>
    <w:rsid w:val="0A9CFDF8"/>
    <w:rsid w:val="0B09DC47"/>
    <w:rsid w:val="0B166D61"/>
    <w:rsid w:val="0C76AA0B"/>
    <w:rsid w:val="0C8AB34B"/>
    <w:rsid w:val="0E1B9475"/>
    <w:rsid w:val="0EC660C7"/>
    <w:rsid w:val="0FA8C3D1"/>
    <w:rsid w:val="10CEF72B"/>
    <w:rsid w:val="110B5739"/>
    <w:rsid w:val="1201FFA2"/>
    <w:rsid w:val="12B85A05"/>
    <w:rsid w:val="12E2D311"/>
    <w:rsid w:val="1396EE84"/>
    <w:rsid w:val="13B1696B"/>
    <w:rsid w:val="151CBA94"/>
    <w:rsid w:val="1589886E"/>
    <w:rsid w:val="1688E1EE"/>
    <w:rsid w:val="17C98400"/>
    <w:rsid w:val="197F2AE4"/>
    <w:rsid w:val="1984C728"/>
    <w:rsid w:val="1B1EE715"/>
    <w:rsid w:val="1B6F2B84"/>
    <w:rsid w:val="1C0FB7D4"/>
    <w:rsid w:val="1D386FD8"/>
    <w:rsid w:val="1E4E08F7"/>
    <w:rsid w:val="1F01374B"/>
    <w:rsid w:val="1F8C40F7"/>
    <w:rsid w:val="1FB73F8E"/>
    <w:rsid w:val="2008DF24"/>
    <w:rsid w:val="20844B61"/>
    <w:rsid w:val="20AF8E3B"/>
    <w:rsid w:val="224088D5"/>
    <w:rsid w:val="23E96685"/>
    <w:rsid w:val="2472DBA0"/>
    <w:rsid w:val="24B634B1"/>
    <w:rsid w:val="25217323"/>
    <w:rsid w:val="25593971"/>
    <w:rsid w:val="258C4814"/>
    <w:rsid w:val="25946146"/>
    <w:rsid w:val="25B58A6C"/>
    <w:rsid w:val="26124194"/>
    <w:rsid w:val="2840B781"/>
    <w:rsid w:val="29664155"/>
    <w:rsid w:val="29F0FB3F"/>
    <w:rsid w:val="2B047523"/>
    <w:rsid w:val="2CBE503C"/>
    <w:rsid w:val="2D1E9204"/>
    <w:rsid w:val="2D6237C7"/>
    <w:rsid w:val="2DFF996A"/>
    <w:rsid w:val="2E3D1280"/>
    <w:rsid w:val="2E7A0D08"/>
    <w:rsid w:val="2EBB3B72"/>
    <w:rsid w:val="2EE24D88"/>
    <w:rsid w:val="2F0CC75E"/>
    <w:rsid w:val="2FAE3D95"/>
    <w:rsid w:val="313C30CA"/>
    <w:rsid w:val="31499464"/>
    <w:rsid w:val="31DA2D1A"/>
    <w:rsid w:val="32818F6F"/>
    <w:rsid w:val="33305B73"/>
    <w:rsid w:val="33E30257"/>
    <w:rsid w:val="347BC30E"/>
    <w:rsid w:val="34E681A6"/>
    <w:rsid w:val="34E95362"/>
    <w:rsid w:val="35ED57E8"/>
    <w:rsid w:val="36850091"/>
    <w:rsid w:val="380BD4D9"/>
    <w:rsid w:val="38415A29"/>
    <w:rsid w:val="38F19357"/>
    <w:rsid w:val="391E3132"/>
    <w:rsid w:val="3A5272B6"/>
    <w:rsid w:val="3A6FB475"/>
    <w:rsid w:val="3A96D22D"/>
    <w:rsid w:val="3B3E164D"/>
    <w:rsid w:val="3B4A29F0"/>
    <w:rsid w:val="3BA6714B"/>
    <w:rsid w:val="3CF4F8A2"/>
    <w:rsid w:val="3D4A08DC"/>
    <w:rsid w:val="3D9C73B0"/>
    <w:rsid w:val="3E123AEE"/>
    <w:rsid w:val="3E806826"/>
    <w:rsid w:val="3F64D453"/>
    <w:rsid w:val="40561B55"/>
    <w:rsid w:val="40E2B3AB"/>
    <w:rsid w:val="40F7458A"/>
    <w:rsid w:val="42C2EF6B"/>
    <w:rsid w:val="42D38EAD"/>
    <w:rsid w:val="436FF70C"/>
    <w:rsid w:val="4463D079"/>
    <w:rsid w:val="450E1E30"/>
    <w:rsid w:val="459B0AAE"/>
    <w:rsid w:val="45D5DFC0"/>
    <w:rsid w:val="46531BB2"/>
    <w:rsid w:val="46F807D4"/>
    <w:rsid w:val="4749B285"/>
    <w:rsid w:val="48781D8C"/>
    <w:rsid w:val="494E2570"/>
    <w:rsid w:val="49595729"/>
    <w:rsid w:val="49A5B8F7"/>
    <w:rsid w:val="4AB14286"/>
    <w:rsid w:val="4BB27C92"/>
    <w:rsid w:val="4BEC3B9E"/>
    <w:rsid w:val="4BF33613"/>
    <w:rsid w:val="4C536B11"/>
    <w:rsid w:val="4CCE5075"/>
    <w:rsid w:val="4D8EEDC4"/>
    <w:rsid w:val="4DB432C7"/>
    <w:rsid w:val="4DC3E678"/>
    <w:rsid w:val="4E4A0189"/>
    <w:rsid w:val="4E6EE826"/>
    <w:rsid w:val="4EAD83D4"/>
    <w:rsid w:val="4EB64D96"/>
    <w:rsid w:val="4F40C607"/>
    <w:rsid w:val="506EBE91"/>
    <w:rsid w:val="50A8E244"/>
    <w:rsid w:val="50C2AAE5"/>
    <w:rsid w:val="510E4BA5"/>
    <w:rsid w:val="51CE6628"/>
    <w:rsid w:val="53A4FE8D"/>
    <w:rsid w:val="53A9E380"/>
    <w:rsid w:val="53CD46FD"/>
    <w:rsid w:val="53D248ED"/>
    <w:rsid w:val="5445238D"/>
    <w:rsid w:val="54D3B472"/>
    <w:rsid w:val="54E52BFF"/>
    <w:rsid w:val="5592EB13"/>
    <w:rsid w:val="5637BD2C"/>
    <w:rsid w:val="5662D6D0"/>
    <w:rsid w:val="56E3F87F"/>
    <w:rsid w:val="57EFAEE6"/>
    <w:rsid w:val="58B04317"/>
    <w:rsid w:val="595AFD38"/>
    <w:rsid w:val="59764DFE"/>
    <w:rsid w:val="59DA9C82"/>
    <w:rsid w:val="5A334D65"/>
    <w:rsid w:val="5AAFBE56"/>
    <w:rsid w:val="5B57118D"/>
    <w:rsid w:val="5BF16728"/>
    <w:rsid w:val="5D20656B"/>
    <w:rsid w:val="5DF8C245"/>
    <w:rsid w:val="5EF5F347"/>
    <w:rsid w:val="5F205310"/>
    <w:rsid w:val="618A04E4"/>
    <w:rsid w:val="63D7D099"/>
    <w:rsid w:val="64207530"/>
    <w:rsid w:val="642B2C36"/>
    <w:rsid w:val="642BAFD6"/>
    <w:rsid w:val="648444AD"/>
    <w:rsid w:val="650DB5CD"/>
    <w:rsid w:val="65F79FB0"/>
    <w:rsid w:val="687398A3"/>
    <w:rsid w:val="6996AF56"/>
    <w:rsid w:val="69B98D48"/>
    <w:rsid w:val="6B3B812D"/>
    <w:rsid w:val="6BE4A4E7"/>
    <w:rsid w:val="6BEA8896"/>
    <w:rsid w:val="6BF99959"/>
    <w:rsid w:val="6C076C85"/>
    <w:rsid w:val="6C248F3E"/>
    <w:rsid w:val="6D985488"/>
    <w:rsid w:val="6DC4F95F"/>
    <w:rsid w:val="6E34DCAF"/>
    <w:rsid w:val="6E6DE143"/>
    <w:rsid w:val="700B3D11"/>
    <w:rsid w:val="70A138C5"/>
    <w:rsid w:val="70E232BB"/>
    <w:rsid w:val="716E2426"/>
    <w:rsid w:val="71BAF28C"/>
    <w:rsid w:val="720F2ECE"/>
    <w:rsid w:val="72169D69"/>
    <w:rsid w:val="72833C55"/>
    <w:rsid w:val="73587016"/>
    <w:rsid w:val="7361ADA5"/>
    <w:rsid w:val="73D808D4"/>
    <w:rsid w:val="74851F7A"/>
    <w:rsid w:val="762B2424"/>
    <w:rsid w:val="7719D557"/>
    <w:rsid w:val="79493CFA"/>
    <w:rsid w:val="7981497D"/>
    <w:rsid w:val="79A6AF29"/>
    <w:rsid w:val="79CE6DAB"/>
    <w:rsid w:val="79EC4174"/>
    <w:rsid w:val="7A16C006"/>
    <w:rsid w:val="7A3E2DE2"/>
    <w:rsid w:val="7ACF8F14"/>
    <w:rsid w:val="7BBD9C90"/>
    <w:rsid w:val="7C2EFBDD"/>
    <w:rsid w:val="7CAB8475"/>
    <w:rsid w:val="7CF9243A"/>
    <w:rsid w:val="7D07C0AB"/>
    <w:rsid w:val="7DEB5660"/>
    <w:rsid w:val="7E0AE35F"/>
    <w:rsid w:val="7E855025"/>
    <w:rsid w:val="7EB79FE4"/>
    <w:rsid w:val="7F371D24"/>
    <w:rsid w:val="7F6FFE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023DB"/>
  <w15:chartTrackingRefBased/>
  <w15:docId w15:val="{3B958784-4549-4B28-9E3C-70143BF4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3790B"/>
    <w:pPr>
      <w:spacing w:before="120" w:after="120"/>
    </w:pPr>
    <w:rPr>
      <w:rFonts w:eastAsia="Calibri Light"/>
      <w:color w:val="000000" w:themeColor="text1"/>
      <w:sz w:val="24"/>
      <w:szCs w:val="22"/>
      <w:lang w:eastAsia="en-US"/>
    </w:rPr>
  </w:style>
  <w:style w:type="paragraph" w:styleId="Heading1">
    <w:name w:val="heading 1"/>
    <w:basedOn w:val="Heading2"/>
    <w:next w:val="Heading2"/>
    <w:link w:val="Heading1Char"/>
    <w:uiPriority w:val="9"/>
    <w:rsid w:val="006973CB"/>
    <w:pPr>
      <w:outlineLvl w:val="0"/>
    </w:pPr>
    <w:rPr>
      <w:color w:val="FFFFFF" w:themeColor="background1"/>
      <w:sz w:val="72"/>
      <w:szCs w:val="72"/>
    </w:rPr>
  </w:style>
  <w:style w:type="paragraph" w:styleId="Heading2">
    <w:name w:val="heading 2"/>
    <w:basedOn w:val="Normal"/>
    <w:link w:val="Heading2Char"/>
    <w:uiPriority w:val="9"/>
    <w:unhideWhenUsed/>
    <w:qFormat/>
    <w:rsid w:val="00C3790B"/>
    <w:pPr>
      <w:spacing w:line="240" w:lineRule="atLeast"/>
      <w:outlineLvl w:val="1"/>
    </w:pPr>
    <w:rPr>
      <w:rFonts w:cstheme="majorBidi"/>
      <w:b/>
      <w:color w:val="48773C"/>
      <w:sz w:val="50"/>
      <w:szCs w:val="80"/>
    </w:rPr>
  </w:style>
  <w:style w:type="paragraph" w:styleId="Heading3">
    <w:name w:val="heading 3"/>
    <w:basedOn w:val="Normal"/>
    <w:next w:val="Normal"/>
    <w:link w:val="Heading3Char"/>
    <w:uiPriority w:val="9"/>
    <w:unhideWhenUsed/>
    <w:qFormat/>
    <w:rsid w:val="00243555"/>
    <w:pPr>
      <w:keepNext/>
      <w:keepLines/>
      <w:spacing w:before="0" w:after="0"/>
      <w:outlineLvl w:val="2"/>
    </w:pPr>
    <w:rPr>
      <w:rFonts w:eastAsiaTheme="majorEastAsia" w:cstheme="majorBidi"/>
      <w:b/>
      <w:color w:val="48773C"/>
      <w:sz w:val="36"/>
      <w:szCs w:val="24"/>
    </w:rPr>
  </w:style>
  <w:style w:type="paragraph" w:styleId="Heading4">
    <w:name w:val="heading 4"/>
    <w:basedOn w:val="Normal"/>
    <w:next w:val="Normal"/>
    <w:link w:val="Heading4Char"/>
    <w:uiPriority w:val="9"/>
    <w:unhideWhenUsed/>
    <w:qFormat/>
    <w:rsid w:val="00E47901"/>
    <w:pPr>
      <w:keepNext/>
      <w:keepLines/>
      <w:spacing w:before="480" w:line="320" w:lineRule="exact"/>
      <w:outlineLvl w:val="3"/>
    </w:pPr>
    <w:rPr>
      <w:rFonts w:ascii="Calibri Light" w:eastAsiaTheme="majorEastAsia" w:hAnsi="Calibri Light" w:cstheme="majorBidi"/>
      <w:b/>
      <w:iCs/>
      <w:color w:val="48773C"/>
      <w:sz w:val="28"/>
    </w:rPr>
  </w:style>
  <w:style w:type="paragraph" w:styleId="Heading5">
    <w:name w:val="heading 5"/>
    <w:basedOn w:val="Normal"/>
    <w:next w:val="Normal"/>
    <w:link w:val="Heading5Char"/>
    <w:uiPriority w:val="9"/>
    <w:unhideWhenUsed/>
    <w:qFormat/>
    <w:rsid w:val="00D5798D"/>
    <w:pPr>
      <w:keepNext/>
      <w:outlineLvl w:val="4"/>
    </w:pPr>
    <w:rPr>
      <w:rFonts w:cstheme="majorBidi"/>
      <w:b/>
      <w:bCs/>
    </w:rPr>
  </w:style>
  <w:style w:type="paragraph" w:styleId="Heading6">
    <w:name w:val="heading 6"/>
    <w:basedOn w:val="BodyText"/>
    <w:next w:val="Normal"/>
    <w:link w:val="Heading6Char"/>
    <w:uiPriority w:val="9"/>
    <w:unhideWhenUsed/>
    <w:qFormat/>
    <w:rsid w:val="00D5798D"/>
    <w:pPr>
      <w:outlineLvl w:val="5"/>
    </w:pPr>
    <w:rPr>
      <w:rFonts w:cstheme="majorBidi"/>
      <w:i/>
      <w:iCs/>
    </w:rPr>
  </w:style>
  <w:style w:type="paragraph" w:styleId="Heading7">
    <w:name w:val="heading 7"/>
    <w:basedOn w:val="Normal"/>
    <w:next w:val="Normal"/>
    <w:link w:val="Heading7Char"/>
    <w:uiPriority w:val="9"/>
    <w:unhideWhenUsed/>
    <w:rsid w:val="00D5798D"/>
    <w:pPr>
      <w:keepNext/>
      <w:keepLines/>
      <w:spacing w:after="0"/>
      <w:outlineLvl w:val="6"/>
    </w:pPr>
    <w:rPr>
      <w:i/>
      <w:iCs/>
    </w:rPr>
  </w:style>
  <w:style w:type="paragraph" w:styleId="Heading8">
    <w:name w:val="heading 8"/>
    <w:basedOn w:val="Normal"/>
    <w:next w:val="Normal"/>
    <w:link w:val="Heading8Char"/>
    <w:uiPriority w:val="9"/>
    <w:unhideWhenUsed/>
    <w:rsid w:val="00D5798D"/>
    <w:pPr>
      <w:keepNext/>
      <w:keepLines/>
      <w:spacing w:after="0"/>
      <w:outlineLvl w:val="7"/>
    </w:pPr>
    <w:rPr>
      <w:b/>
      <w:bCs/>
    </w:rPr>
  </w:style>
  <w:style w:type="paragraph" w:styleId="Heading9">
    <w:name w:val="heading 9"/>
    <w:aliases w:val="Sub title"/>
    <w:basedOn w:val="Heading1"/>
    <w:next w:val="Normal"/>
    <w:link w:val="Heading9Char"/>
    <w:uiPriority w:val="9"/>
    <w:unhideWhenUsed/>
    <w:rsid w:val="005568B6"/>
    <w:pPr>
      <w:keepNext/>
      <w:keepLines/>
      <w:spacing w:after="0" w:line="320" w:lineRule="exac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790B"/>
    <w:rPr>
      <w:rFonts w:eastAsia="Calibri Light" w:cstheme="majorBidi"/>
      <w:b/>
      <w:color w:val="48773C"/>
      <w:sz w:val="50"/>
      <w:szCs w:val="80"/>
      <w:lang w:eastAsia="en-US"/>
    </w:rPr>
  </w:style>
  <w:style w:type="character" w:customStyle="1" w:styleId="Heading1Char">
    <w:name w:val="Heading 1 Char"/>
    <w:basedOn w:val="DefaultParagraphFont"/>
    <w:link w:val="Heading1"/>
    <w:uiPriority w:val="9"/>
    <w:rsid w:val="006973CB"/>
    <w:rPr>
      <w:rFonts w:eastAsia="Calibri Light" w:cstheme="majorBidi"/>
      <w:b/>
      <w:color w:val="FFFFFF" w:themeColor="background1"/>
      <w:sz w:val="72"/>
      <w:szCs w:val="72"/>
      <w:lang w:eastAsia="en-US"/>
    </w:rPr>
  </w:style>
  <w:style w:type="character" w:customStyle="1" w:styleId="Heading3Char">
    <w:name w:val="Heading 3 Char"/>
    <w:link w:val="Heading3"/>
    <w:uiPriority w:val="9"/>
    <w:rsid w:val="00243555"/>
    <w:rPr>
      <w:rFonts w:eastAsiaTheme="majorEastAsia" w:cstheme="majorBidi"/>
      <w:b/>
      <w:color w:val="48773C"/>
      <w:sz w:val="36"/>
      <w:szCs w:val="24"/>
      <w:lang w:eastAsia="en-US"/>
    </w:rPr>
  </w:style>
  <w:style w:type="character" w:customStyle="1" w:styleId="Heading4Char">
    <w:name w:val="Heading 4 Char"/>
    <w:link w:val="Heading4"/>
    <w:uiPriority w:val="9"/>
    <w:rsid w:val="00E47901"/>
    <w:rPr>
      <w:rFonts w:ascii="Calibri Light" w:eastAsiaTheme="majorEastAsia" w:hAnsi="Calibri Light" w:cstheme="majorBidi"/>
      <w:b/>
      <w:iCs/>
      <w:color w:val="48773C"/>
      <w:sz w:val="28"/>
      <w:szCs w:val="22"/>
      <w:lang w:eastAsia="en-US"/>
    </w:rPr>
  </w:style>
  <w:style w:type="character" w:customStyle="1" w:styleId="Heading5Char">
    <w:name w:val="Heading 5 Char"/>
    <w:basedOn w:val="DefaultParagraphFont"/>
    <w:link w:val="Heading5"/>
    <w:uiPriority w:val="9"/>
    <w:rsid w:val="00D5798D"/>
    <w:rPr>
      <w:rFonts w:eastAsia="Calibri Light" w:cstheme="majorBidi"/>
      <w:b/>
      <w:bCs/>
      <w:color w:val="313E48"/>
      <w:sz w:val="22"/>
      <w:szCs w:val="22"/>
      <w:lang w:eastAsia="en-US"/>
    </w:rPr>
  </w:style>
  <w:style w:type="paragraph" w:styleId="BodyText">
    <w:name w:val="Body Text"/>
    <w:basedOn w:val="Normal"/>
    <w:link w:val="BodyTextChar"/>
    <w:uiPriority w:val="99"/>
    <w:semiHidden/>
    <w:unhideWhenUsed/>
    <w:rsid w:val="00F7322F"/>
  </w:style>
  <w:style w:type="character" w:customStyle="1" w:styleId="BodyTextChar">
    <w:name w:val="Body Text Char"/>
    <w:link w:val="BodyText"/>
    <w:uiPriority w:val="99"/>
    <w:semiHidden/>
    <w:rsid w:val="00F7322F"/>
    <w:rPr>
      <w:rFonts w:ascii="Calibri" w:eastAsia="Calibri Light" w:hAnsi="Calibri" w:cs="Times New Roman"/>
      <w:color w:val="313E48"/>
    </w:rPr>
  </w:style>
  <w:style w:type="character" w:customStyle="1" w:styleId="Heading6Char">
    <w:name w:val="Heading 6 Char"/>
    <w:basedOn w:val="DefaultParagraphFont"/>
    <w:link w:val="Heading6"/>
    <w:uiPriority w:val="9"/>
    <w:rsid w:val="00D5798D"/>
    <w:rPr>
      <w:rFonts w:eastAsia="Calibri Light" w:cstheme="majorBidi"/>
      <w:i/>
      <w:iCs/>
      <w:color w:val="313E48"/>
      <w:sz w:val="22"/>
      <w:szCs w:val="22"/>
      <w:lang w:eastAsia="en-US"/>
    </w:rPr>
  </w:style>
  <w:style w:type="character" w:customStyle="1" w:styleId="Heading7Char">
    <w:name w:val="Heading 7 Char"/>
    <w:basedOn w:val="DefaultParagraphFont"/>
    <w:link w:val="Heading7"/>
    <w:uiPriority w:val="9"/>
    <w:rsid w:val="00D5798D"/>
    <w:rPr>
      <w:i/>
      <w:iCs/>
    </w:rPr>
  </w:style>
  <w:style w:type="character" w:customStyle="1" w:styleId="Heading8Char">
    <w:name w:val="Heading 8 Char"/>
    <w:basedOn w:val="DefaultParagraphFont"/>
    <w:link w:val="Heading8"/>
    <w:uiPriority w:val="9"/>
    <w:rsid w:val="00D5798D"/>
    <w:rPr>
      <w:b/>
      <w:bCs/>
    </w:rPr>
  </w:style>
  <w:style w:type="character" w:customStyle="1" w:styleId="Heading9Char">
    <w:name w:val="Heading 9 Char"/>
    <w:aliases w:val="Sub title Char"/>
    <w:basedOn w:val="DefaultParagraphFont"/>
    <w:link w:val="Heading9"/>
    <w:uiPriority w:val="9"/>
    <w:rsid w:val="005568B6"/>
    <w:rPr>
      <w:rFonts w:eastAsia="Calibri Light" w:cstheme="majorBidi"/>
      <w:i/>
      <w:iCs/>
      <w:color w:val="EBAB21"/>
      <w:sz w:val="28"/>
      <w:szCs w:val="72"/>
      <w:lang w:eastAsia="en-US"/>
    </w:rPr>
  </w:style>
  <w:style w:type="paragraph" w:styleId="Header">
    <w:name w:val="header"/>
    <w:basedOn w:val="Normal"/>
    <w:link w:val="HeaderChar"/>
    <w:uiPriority w:val="99"/>
    <w:unhideWhenUsed/>
    <w:rsid w:val="00F1177F"/>
    <w:pPr>
      <w:tabs>
        <w:tab w:val="center" w:pos="4513"/>
        <w:tab w:val="right" w:pos="9026"/>
      </w:tabs>
      <w:spacing w:after="0"/>
    </w:pPr>
  </w:style>
  <w:style w:type="character" w:customStyle="1" w:styleId="HeaderChar">
    <w:name w:val="Header Char"/>
    <w:basedOn w:val="DefaultParagraphFont"/>
    <w:link w:val="Header"/>
    <w:uiPriority w:val="99"/>
    <w:rsid w:val="00F1177F"/>
  </w:style>
  <w:style w:type="paragraph" w:styleId="Footer">
    <w:name w:val="footer"/>
    <w:basedOn w:val="Normal"/>
    <w:link w:val="FooterChar"/>
    <w:uiPriority w:val="99"/>
    <w:unhideWhenUsed/>
    <w:rsid w:val="00172F8A"/>
    <w:pPr>
      <w:tabs>
        <w:tab w:val="center" w:pos="4513"/>
        <w:tab w:val="right" w:pos="9026"/>
      </w:tabs>
      <w:spacing w:before="0" w:after="0"/>
    </w:pPr>
    <w:rPr>
      <w:b/>
      <w:color w:val="FFFFFF" w:themeColor="background1"/>
    </w:rPr>
  </w:style>
  <w:style w:type="character" w:customStyle="1" w:styleId="FooterChar">
    <w:name w:val="Footer Char"/>
    <w:basedOn w:val="DefaultParagraphFont"/>
    <w:link w:val="Footer"/>
    <w:uiPriority w:val="99"/>
    <w:rsid w:val="00172F8A"/>
    <w:rPr>
      <w:rFonts w:eastAsia="Calibri Light"/>
      <w:b/>
      <w:color w:val="FFFFFF" w:themeColor="background1"/>
      <w:sz w:val="24"/>
      <w:szCs w:val="22"/>
      <w:lang w:eastAsia="en-US"/>
    </w:rPr>
  </w:style>
  <w:style w:type="paragraph" w:styleId="FootnoteText">
    <w:name w:val="footnote text"/>
    <w:basedOn w:val="Normal"/>
    <w:link w:val="FootnoteTextChar"/>
    <w:uiPriority w:val="99"/>
    <w:unhideWhenUsed/>
    <w:rsid w:val="0043643D"/>
    <w:pPr>
      <w:suppressAutoHyphens/>
      <w:spacing w:before="0" w:after="0"/>
    </w:pPr>
    <w:rPr>
      <w:sz w:val="20"/>
      <w:szCs w:val="20"/>
    </w:rPr>
  </w:style>
  <w:style w:type="character" w:customStyle="1" w:styleId="FootnoteTextChar">
    <w:name w:val="Footnote Text Char"/>
    <w:link w:val="FootnoteText"/>
    <w:uiPriority w:val="99"/>
    <w:rsid w:val="0043643D"/>
    <w:rPr>
      <w:rFonts w:eastAsia="Calibri Light"/>
      <w:color w:val="313E48"/>
      <w:lang w:eastAsia="en-US"/>
    </w:rPr>
  </w:style>
  <w:style w:type="character" w:styleId="FootnoteReference">
    <w:name w:val="footnote reference"/>
    <w:uiPriority w:val="99"/>
    <w:semiHidden/>
    <w:unhideWhenUsed/>
    <w:rsid w:val="004B2341"/>
    <w:rPr>
      <w:vertAlign w:val="superscript"/>
    </w:rPr>
  </w:style>
  <w:style w:type="character" w:styleId="Strong">
    <w:name w:val="Strong"/>
    <w:uiPriority w:val="22"/>
    <w:qFormat/>
    <w:rsid w:val="00D5798D"/>
    <w:rPr>
      <w:b/>
      <w:bCs/>
    </w:rPr>
  </w:style>
  <w:style w:type="character" w:styleId="Emphasis">
    <w:name w:val="Emphasis"/>
    <w:uiPriority w:val="20"/>
    <w:qFormat/>
    <w:rsid w:val="00D5798D"/>
    <w:rPr>
      <w:i/>
      <w:iCs/>
    </w:rPr>
  </w:style>
  <w:style w:type="character" w:styleId="IntenseEmphasis">
    <w:name w:val="Intense Emphasis"/>
    <w:uiPriority w:val="21"/>
    <w:qFormat/>
    <w:rsid w:val="00D5798D"/>
    <w:rPr>
      <w:b/>
      <w:i/>
      <w:iCs/>
      <w:color w:val="242E35"/>
    </w:rPr>
  </w:style>
  <w:style w:type="character" w:styleId="Hyperlink">
    <w:name w:val="Hyperlink"/>
    <w:uiPriority w:val="99"/>
    <w:unhideWhenUsed/>
    <w:rsid w:val="00E47901"/>
    <w:rPr>
      <w:color w:val="48773C"/>
      <w:u w:val="single"/>
    </w:rPr>
  </w:style>
  <w:style w:type="paragraph" w:styleId="TOC5">
    <w:name w:val="toc 5"/>
    <w:basedOn w:val="TOC1"/>
    <w:next w:val="Normal"/>
    <w:autoRedefine/>
    <w:uiPriority w:val="39"/>
    <w:unhideWhenUsed/>
    <w:rsid w:val="004B723B"/>
    <w:pPr>
      <w:ind w:left="880"/>
    </w:pPr>
  </w:style>
  <w:style w:type="table" w:customStyle="1" w:styleId="DFATTable1">
    <w:name w:val="DFAT Table 1"/>
    <w:basedOn w:val="TableNormal"/>
    <w:uiPriority w:val="99"/>
    <w:rsid w:val="00E47901"/>
    <w:pPr>
      <w:keepNext/>
      <w:keepLines/>
      <w:spacing w:before="60" w:after="60" w:line="260" w:lineRule="atLeast"/>
    </w:pPr>
    <w:rPr>
      <w:color w:val="FFFFFF" w:themeColor="background1"/>
    </w:rPr>
    <w:tblPr>
      <w:tblStyleRowBandSize w:val="1"/>
      <w:tblStyleColBandSize w:val="1"/>
      <w:tblBorders>
        <w:top w:val="single" w:sz="4" w:space="0" w:color="auto"/>
        <w:bottom w:val="single" w:sz="4" w:space="0" w:color="auto"/>
        <w:insideH w:val="single" w:sz="4" w:space="0" w:color="auto"/>
      </w:tblBorders>
      <w:tblCellMar>
        <w:top w:w="57" w:type="dxa"/>
        <w:bottom w:w="57" w:type="dxa"/>
      </w:tblCellMar>
    </w:tblPr>
    <w:tcPr>
      <w:shd w:val="clear" w:color="auto" w:fill="auto"/>
    </w:tcPr>
    <w:tblStylePr w:type="firstRow">
      <w:tblPr/>
      <w:tcPr>
        <w:shd w:val="clear" w:color="auto" w:fill="48773C"/>
      </w:tcPr>
    </w:tblStylePr>
    <w:tblStylePr w:type="lastRow">
      <w:rPr>
        <w:b/>
        <w:color w:val="FFFFFF" w:themeColor="background1"/>
      </w:rPr>
      <w:tblPr/>
      <w:tcPr>
        <w:shd w:val="clear" w:color="auto" w:fill="48773C"/>
      </w:tcPr>
    </w:tblStylePr>
  </w:style>
  <w:style w:type="table" w:styleId="TableGrid">
    <w:name w:val="Table Grid"/>
    <w:basedOn w:val="TableNormal"/>
    <w:uiPriority w:val="39"/>
    <w:rsid w:val="0019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link w:val="TablebodyChar"/>
    <w:qFormat/>
    <w:rsid w:val="00D5798D"/>
    <w:pPr>
      <w:framePr w:hSpace="181" w:wrap="around" w:vAnchor="text" w:hAnchor="margin" w:y="1"/>
      <w:spacing w:before="60" w:after="60" w:line="240" w:lineRule="exact"/>
    </w:pPr>
    <w:rPr>
      <w:bCs/>
    </w:rPr>
  </w:style>
  <w:style w:type="character" w:customStyle="1" w:styleId="TablebodyChar">
    <w:name w:val="Table body Char"/>
    <w:link w:val="Tablebody"/>
    <w:rsid w:val="00D5798D"/>
    <w:rPr>
      <w:rFonts w:eastAsia="Calibri Light"/>
      <w:bCs/>
      <w:color w:val="313E48"/>
      <w:sz w:val="22"/>
      <w:szCs w:val="22"/>
      <w:lang w:eastAsia="en-US"/>
    </w:rPr>
  </w:style>
  <w:style w:type="paragraph" w:customStyle="1" w:styleId="highlighttext1">
    <w:name w:val="highlight text 1"/>
    <w:next w:val="Normal"/>
    <w:link w:val="highlighttext1Char"/>
    <w:qFormat/>
    <w:rsid w:val="00B8229E"/>
    <w:pPr>
      <w:pBdr>
        <w:top w:val="single" w:sz="24" w:space="12" w:color="48773C"/>
        <w:left w:val="single" w:sz="24" w:space="12" w:color="48773C"/>
        <w:bottom w:val="single" w:sz="24" w:space="12" w:color="48773C"/>
        <w:right w:val="single" w:sz="24" w:space="12" w:color="48773C"/>
      </w:pBdr>
      <w:spacing w:after="120"/>
      <w:ind w:left="1134" w:right="1134"/>
    </w:pPr>
    <w:rPr>
      <w:rFonts w:eastAsia="Times New Roman"/>
      <w:b/>
      <w:iCs/>
      <w:color w:val="000000" w:themeColor="text1"/>
      <w:sz w:val="22"/>
      <w:szCs w:val="32"/>
      <w:lang w:eastAsia="en-US"/>
    </w:rPr>
  </w:style>
  <w:style w:type="character" w:customStyle="1" w:styleId="highlighttext1Char">
    <w:name w:val="highlight text 1 Char"/>
    <w:basedOn w:val="DefaultParagraphFont"/>
    <w:link w:val="highlighttext1"/>
    <w:rsid w:val="00B8229E"/>
    <w:rPr>
      <w:rFonts w:eastAsia="Times New Roman"/>
      <w:b/>
      <w:iCs/>
      <w:color w:val="000000" w:themeColor="text1"/>
      <w:sz w:val="22"/>
      <w:szCs w:val="32"/>
      <w:lang w:eastAsia="en-US"/>
    </w:rPr>
  </w:style>
  <w:style w:type="paragraph" w:styleId="ListParagraph">
    <w:name w:val="List Paragraph"/>
    <w:basedOn w:val="Normal"/>
    <w:uiPriority w:val="34"/>
    <w:rsid w:val="00F372EF"/>
    <w:pPr>
      <w:ind w:left="720"/>
      <w:contextualSpacing/>
    </w:pPr>
  </w:style>
  <w:style w:type="character" w:styleId="CommentReference">
    <w:name w:val="annotation reference"/>
    <w:basedOn w:val="DefaultParagraphFont"/>
    <w:uiPriority w:val="99"/>
    <w:semiHidden/>
    <w:unhideWhenUsed/>
    <w:rsid w:val="0042398F"/>
    <w:rPr>
      <w:sz w:val="16"/>
      <w:szCs w:val="16"/>
    </w:rPr>
  </w:style>
  <w:style w:type="paragraph" w:styleId="CommentText">
    <w:name w:val="annotation text"/>
    <w:basedOn w:val="Normal"/>
    <w:link w:val="CommentTextChar"/>
    <w:uiPriority w:val="99"/>
    <w:semiHidden/>
    <w:unhideWhenUsed/>
    <w:rsid w:val="0042398F"/>
    <w:pPr>
      <w:spacing w:after="240"/>
    </w:pPr>
    <w:rPr>
      <w:rFonts w:asciiTheme="minorHAnsi" w:eastAsiaTheme="minorEastAsia" w:hAnsiTheme="minorHAnsi" w:cstheme="minorBidi"/>
      <w:color w:val="E7E6E6" w:themeColor="background2"/>
      <w:sz w:val="20"/>
      <w:szCs w:val="20"/>
    </w:rPr>
  </w:style>
  <w:style w:type="character" w:customStyle="1" w:styleId="CommentTextChar">
    <w:name w:val="Comment Text Char"/>
    <w:basedOn w:val="DefaultParagraphFont"/>
    <w:link w:val="CommentText"/>
    <w:uiPriority w:val="99"/>
    <w:semiHidden/>
    <w:rsid w:val="0042398F"/>
    <w:rPr>
      <w:rFonts w:asciiTheme="minorHAnsi" w:eastAsiaTheme="minorEastAsia" w:hAnsiTheme="minorHAnsi" w:cstheme="minorBidi"/>
      <w:color w:val="E7E6E6" w:themeColor="background2"/>
      <w:lang w:eastAsia="en-US"/>
    </w:rPr>
  </w:style>
  <w:style w:type="table" w:styleId="ListTable1Light">
    <w:name w:val="List Table 1 Light"/>
    <w:basedOn w:val="TableNormal"/>
    <w:uiPriority w:val="46"/>
    <w:rsid w:val="00AF24BC"/>
    <w:rPr>
      <w:rFonts w:asciiTheme="minorHAnsi" w:eastAsiaTheme="minorEastAsia"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TOC3"/>
    <w:next w:val="Normal"/>
    <w:autoRedefine/>
    <w:uiPriority w:val="39"/>
    <w:unhideWhenUsed/>
    <w:rsid w:val="00E94339"/>
    <w:pPr>
      <w:ind w:left="284"/>
    </w:pPr>
  </w:style>
  <w:style w:type="paragraph" w:styleId="TOC3">
    <w:name w:val="toc 3"/>
    <w:basedOn w:val="Normal"/>
    <w:next w:val="Normal"/>
    <w:autoRedefine/>
    <w:uiPriority w:val="39"/>
    <w:unhideWhenUsed/>
    <w:rsid w:val="00E47901"/>
    <w:pPr>
      <w:tabs>
        <w:tab w:val="right" w:leader="dot" w:pos="9016"/>
      </w:tabs>
      <w:spacing w:after="100"/>
      <w:ind w:left="680"/>
    </w:pPr>
    <w:rPr>
      <w:noProof/>
    </w:rPr>
  </w:style>
  <w:style w:type="paragraph" w:styleId="TOC2">
    <w:name w:val="toc 2"/>
    <w:basedOn w:val="TOC1"/>
    <w:next w:val="Normal"/>
    <w:autoRedefine/>
    <w:uiPriority w:val="39"/>
    <w:unhideWhenUsed/>
    <w:rsid w:val="00E94339"/>
    <w:pPr>
      <w:ind w:left="454"/>
    </w:pPr>
  </w:style>
  <w:style w:type="paragraph" w:styleId="TOCHeading">
    <w:name w:val="TOC Heading"/>
    <w:basedOn w:val="Heading1"/>
    <w:next w:val="Normal"/>
    <w:uiPriority w:val="39"/>
    <w:unhideWhenUsed/>
    <w:qFormat/>
    <w:rsid w:val="00D5798D"/>
    <w:pPr>
      <w:spacing w:before="240" w:after="0" w:line="259" w:lineRule="auto"/>
      <w:outlineLvl w:val="9"/>
    </w:pPr>
    <w:rPr>
      <w:b w:val="0"/>
      <w:bCs/>
      <w:caps/>
      <w:color w:val="2F5496" w:themeColor="accent1" w:themeShade="BF"/>
      <w:sz w:val="32"/>
      <w:szCs w:val="32"/>
      <w:lang w:val="en-US"/>
    </w:rPr>
  </w:style>
  <w:style w:type="paragraph" w:styleId="CommentSubject">
    <w:name w:val="annotation subject"/>
    <w:basedOn w:val="CommentText"/>
    <w:next w:val="CommentText"/>
    <w:link w:val="CommentSubjectChar"/>
    <w:uiPriority w:val="99"/>
    <w:semiHidden/>
    <w:unhideWhenUsed/>
    <w:rsid w:val="00630914"/>
    <w:pPr>
      <w:spacing w:after="120"/>
    </w:pPr>
    <w:rPr>
      <w:rFonts w:ascii="Calibri" w:eastAsia="Calibri Light" w:hAnsi="Calibri" w:cs="Times New Roman"/>
      <w:b/>
      <w:bCs/>
      <w:color w:val="313E48"/>
    </w:rPr>
  </w:style>
  <w:style w:type="character" w:customStyle="1" w:styleId="CommentSubjectChar">
    <w:name w:val="Comment Subject Char"/>
    <w:basedOn w:val="CommentTextChar"/>
    <w:link w:val="CommentSubject"/>
    <w:uiPriority w:val="99"/>
    <w:semiHidden/>
    <w:rsid w:val="00630914"/>
    <w:rPr>
      <w:rFonts w:asciiTheme="minorHAnsi" w:eastAsia="Calibri Light" w:hAnsiTheme="minorHAnsi" w:cstheme="minorBidi"/>
      <w:b/>
      <w:bCs/>
      <w:color w:val="313E48"/>
      <w:lang w:eastAsia="en-US"/>
    </w:rPr>
  </w:style>
  <w:style w:type="character" w:styleId="UnresolvedMention">
    <w:name w:val="Unresolved Mention"/>
    <w:basedOn w:val="DefaultParagraphFont"/>
    <w:uiPriority w:val="99"/>
    <w:semiHidden/>
    <w:unhideWhenUsed/>
    <w:rsid w:val="00E77ED2"/>
    <w:rPr>
      <w:color w:val="605E5C"/>
      <w:shd w:val="clear" w:color="auto" w:fill="E1DFDD"/>
    </w:rPr>
  </w:style>
  <w:style w:type="paragraph" w:styleId="Revision">
    <w:name w:val="Revision"/>
    <w:hidden/>
    <w:uiPriority w:val="99"/>
    <w:semiHidden/>
    <w:rsid w:val="00B415F4"/>
    <w:rPr>
      <w:rFonts w:eastAsia="Calibri Light"/>
      <w:color w:val="313E48"/>
      <w:sz w:val="22"/>
      <w:szCs w:val="22"/>
      <w:lang w:eastAsia="en-US"/>
    </w:rPr>
  </w:style>
  <w:style w:type="paragraph" w:styleId="Caption">
    <w:name w:val="caption"/>
    <w:basedOn w:val="Normal"/>
    <w:next w:val="Normal"/>
    <w:uiPriority w:val="35"/>
    <w:unhideWhenUsed/>
    <w:rsid w:val="00D5798D"/>
    <w:rPr>
      <w:b/>
      <w:bCs/>
      <w:sz w:val="18"/>
      <w:szCs w:val="18"/>
    </w:rPr>
  </w:style>
  <w:style w:type="paragraph" w:customStyle="1" w:styleId="ListBulletLevel1">
    <w:name w:val="List Bullet Level 1"/>
    <w:basedOn w:val="Normal"/>
    <w:qFormat/>
    <w:rsid w:val="00C3790B"/>
    <w:pPr>
      <w:numPr>
        <w:numId w:val="3"/>
      </w:numPr>
      <w:spacing w:after="40" w:line="240" w:lineRule="atLeast"/>
    </w:pPr>
    <w:rPr>
      <w:rFonts w:asciiTheme="minorHAnsi" w:eastAsiaTheme="minorHAnsi" w:hAnsiTheme="minorHAnsi" w:cstheme="minorBidi"/>
    </w:rPr>
  </w:style>
  <w:style w:type="paragraph" w:customStyle="1" w:styleId="ListNumberedLevel1">
    <w:name w:val="List Numbered Level 1"/>
    <w:basedOn w:val="Normal"/>
    <w:qFormat/>
    <w:rsid w:val="004F4D12"/>
    <w:pPr>
      <w:numPr>
        <w:numId w:val="4"/>
      </w:numPr>
    </w:pPr>
    <w:rPr>
      <w:rFonts w:asciiTheme="minorHAnsi" w:eastAsiaTheme="minorHAnsi" w:hAnsiTheme="minorHAnsi" w:cstheme="minorBidi"/>
    </w:rPr>
  </w:style>
  <w:style w:type="paragraph" w:customStyle="1" w:styleId="Figurecaption">
    <w:name w:val="Figure caption"/>
    <w:basedOn w:val="Normal"/>
    <w:next w:val="Normal"/>
    <w:qFormat/>
    <w:rsid w:val="00E47901"/>
    <w:pPr>
      <w:numPr>
        <w:numId w:val="5"/>
      </w:numPr>
      <w:spacing w:before="240"/>
      <w:ind w:left="794" w:hanging="227"/>
      <w:jc w:val="center"/>
    </w:pPr>
    <w:rPr>
      <w:iCs/>
      <w:sz w:val="20"/>
      <w:szCs w:val="18"/>
    </w:rPr>
  </w:style>
  <w:style w:type="paragraph" w:customStyle="1" w:styleId="Caption1">
    <w:name w:val="Caption1"/>
    <w:qFormat/>
    <w:rsid w:val="006973CB"/>
    <w:rPr>
      <w:rFonts w:asciiTheme="majorHAnsi" w:eastAsiaTheme="minorHAnsi" w:hAnsiTheme="majorHAnsi" w:cstheme="majorBidi"/>
      <w:b/>
      <w:color w:val="000000" w:themeColor="text1"/>
      <w:sz w:val="24"/>
      <w:szCs w:val="32"/>
      <w:lang w:eastAsia="en-US"/>
    </w:rPr>
  </w:style>
  <w:style w:type="paragraph" w:customStyle="1" w:styleId="Tableheading">
    <w:name w:val="Table heading"/>
    <w:autoRedefine/>
    <w:rsid w:val="00E47901"/>
    <w:pPr>
      <w:keepNext/>
      <w:keepLines/>
      <w:framePr w:hSpace="181" w:wrap="around" w:vAnchor="text" w:hAnchor="margin" w:y="1"/>
      <w:spacing w:before="60" w:after="60" w:line="260" w:lineRule="atLeast"/>
    </w:pPr>
    <w:rPr>
      <w:rFonts w:eastAsia="Calibri Light"/>
      <w:bCs/>
      <w:color w:val="FFFFFF" w:themeColor="background1"/>
      <w:sz w:val="22"/>
      <w:szCs w:val="21"/>
      <w:lang w:val="en-GB" w:eastAsia="en-US"/>
    </w:rPr>
  </w:style>
  <w:style w:type="paragraph" w:styleId="NoSpacing">
    <w:name w:val="No Spacing"/>
    <w:link w:val="NoSpacingChar"/>
    <w:uiPriority w:val="1"/>
    <w:qFormat/>
    <w:rsid w:val="00D5798D"/>
  </w:style>
  <w:style w:type="character" w:customStyle="1" w:styleId="NoSpacingChar">
    <w:name w:val="No Spacing Char"/>
    <w:basedOn w:val="DefaultParagraphFont"/>
    <w:link w:val="NoSpacing"/>
    <w:uiPriority w:val="1"/>
    <w:rsid w:val="00D31032"/>
  </w:style>
  <w:style w:type="paragraph" w:styleId="Quote">
    <w:name w:val="Quote"/>
    <w:basedOn w:val="Normal"/>
    <w:next w:val="Normal"/>
    <w:link w:val="QuoteChar"/>
    <w:uiPriority w:val="29"/>
    <w:rsid w:val="00D5798D"/>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D5798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D5798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5798D"/>
    <w:rPr>
      <w:rFonts w:asciiTheme="majorHAnsi" w:eastAsiaTheme="majorEastAsia" w:hAnsiTheme="majorHAnsi" w:cstheme="majorBidi"/>
      <w:sz w:val="26"/>
      <w:szCs w:val="26"/>
    </w:rPr>
  </w:style>
  <w:style w:type="character" w:styleId="SubtleEmphasis">
    <w:name w:val="Subtle Emphasis"/>
    <w:basedOn w:val="DefaultParagraphFont"/>
    <w:uiPriority w:val="19"/>
    <w:rsid w:val="00D5798D"/>
    <w:rPr>
      <w:i/>
      <w:iCs/>
      <w:color w:val="auto"/>
    </w:rPr>
  </w:style>
  <w:style w:type="character" w:styleId="SubtleReference">
    <w:name w:val="Subtle Reference"/>
    <w:basedOn w:val="DefaultParagraphFont"/>
    <w:uiPriority w:val="31"/>
    <w:rsid w:val="00D5798D"/>
    <w:rPr>
      <w:smallCaps/>
      <w:color w:val="auto"/>
      <w:u w:val="single" w:color="7F7F7F" w:themeColor="text1" w:themeTint="80"/>
    </w:rPr>
  </w:style>
  <w:style w:type="character" w:styleId="IntenseReference">
    <w:name w:val="Intense Reference"/>
    <w:basedOn w:val="DefaultParagraphFont"/>
    <w:uiPriority w:val="32"/>
    <w:rsid w:val="00D5798D"/>
    <w:rPr>
      <w:b/>
      <w:bCs/>
      <w:smallCaps/>
      <w:color w:val="auto"/>
      <w:u w:val="single"/>
    </w:rPr>
  </w:style>
  <w:style w:type="character" w:styleId="BookTitle">
    <w:name w:val="Book Title"/>
    <w:basedOn w:val="DefaultParagraphFont"/>
    <w:uiPriority w:val="33"/>
    <w:rsid w:val="00D5798D"/>
    <w:rPr>
      <w:b/>
      <w:bCs/>
      <w:smallCaps/>
      <w:color w:val="auto"/>
    </w:rPr>
  </w:style>
  <w:style w:type="character" w:styleId="PlaceholderText">
    <w:name w:val="Placeholder Text"/>
    <w:basedOn w:val="DefaultParagraphFont"/>
    <w:uiPriority w:val="99"/>
    <w:semiHidden/>
    <w:rsid w:val="0092091C"/>
    <w:rPr>
      <w:color w:val="808080"/>
    </w:rPr>
  </w:style>
  <w:style w:type="paragraph" w:customStyle="1" w:styleId="ListBulletLevel2">
    <w:name w:val="List Bullet Level 2"/>
    <w:basedOn w:val="ListBulletLevel1"/>
    <w:qFormat/>
    <w:rsid w:val="00F51E13"/>
    <w:pPr>
      <w:numPr>
        <w:ilvl w:val="1"/>
        <w:numId w:val="1"/>
      </w:numPr>
    </w:pPr>
  </w:style>
  <w:style w:type="paragraph" w:styleId="TOC4">
    <w:name w:val="toc 4"/>
    <w:basedOn w:val="TOC1"/>
    <w:next w:val="Normal"/>
    <w:autoRedefine/>
    <w:uiPriority w:val="39"/>
    <w:unhideWhenUsed/>
    <w:rsid w:val="00805AB7"/>
    <w:pPr>
      <w:ind w:left="851"/>
    </w:pPr>
  </w:style>
  <w:style w:type="paragraph" w:styleId="TOC6">
    <w:name w:val="toc 6"/>
    <w:basedOn w:val="TOC1"/>
    <w:next w:val="Normal"/>
    <w:autoRedefine/>
    <w:uiPriority w:val="39"/>
    <w:unhideWhenUsed/>
    <w:rsid w:val="00031DFE"/>
    <w:pPr>
      <w:spacing w:before="0" w:line="259" w:lineRule="auto"/>
      <w:ind w:left="1100"/>
    </w:pPr>
    <w:rPr>
      <w:rFonts w:asciiTheme="minorHAnsi" w:eastAsiaTheme="minorEastAsia" w:hAnsiTheme="minorHAnsi" w:cstheme="minorBidi"/>
      <w:color w:val="auto"/>
      <w:lang w:eastAsia="en-AU"/>
    </w:rPr>
  </w:style>
  <w:style w:type="paragraph" w:styleId="TOC7">
    <w:name w:val="toc 7"/>
    <w:basedOn w:val="TOC1"/>
    <w:next w:val="Normal"/>
    <w:autoRedefine/>
    <w:uiPriority w:val="39"/>
    <w:unhideWhenUsed/>
    <w:rsid w:val="00031DFE"/>
    <w:pPr>
      <w:spacing w:before="0" w:line="259" w:lineRule="auto"/>
      <w:ind w:left="1320"/>
    </w:pPr>
    <w:rPr>
      <w:rFonts w:asciiTheme="minorHAnsi" w:eastAsiaTheme="minorEastAsia" w:hAnsiTheme="minorHAnsi" w:cstheme="minorBidi"/>
      <w:color w:val="auto"/>
      <w:lang w:eastAsia="en-AU"/>
    </w:rPr>
  </w:style>
  <w:style w:type="paragraph" w:styleId="TOC8">
    <w:name w:val="toc 8"/>
    <w:basedOn w:val="TOC1"/>
    <w:next w:val="Normal"/>
    <w:autoRedefine/>
    <w:uiPriority w:val="39"/>
    <w:unhideWhenUsed/>
    <w:rsid w:val="00031DFE"/>
    <w:pPr>
      <w:spacing w:before="0" w:line="259" w:lineRule="auto"/>
      <w:ind w:left="1540"/>
    </w:pPr>
    <w:rPr>
      <w:rFonts w:asciiTheme="minorHAnsi" w:eastAsiaTheme="minorEastAsia" w:hAnsiTheme="minorHAnsi" w:cstheme="minorBidi"/>
      <w:color w:val="auto"/>
      <w:lang w:eastAsia="en-AU"/>
    </w:rPr>
  </w:style>
  <w:style w:type="paragraph" w:styleId="TOC9">
    <w:name w:val="toc 9"/>
    <w:basedOn w:val="TOC1"/>
    <w:next w:val="Normal"/>
    <w:autoRedefine/>
    <w:uiPriority w:val="39"/>
    <w:unhideWhenUsed/>
    <w:rsid w:val="00031DFE"/>
    <w:pPr>
      <w:spacing w:before="0" w:line="259" w:lineRule="auto"/>
      <w:ind w:left="1760"/>
    </w:pPr>
    <w:rPr>
      <w:rFonts w:asciiTheme="minorHAnsi" w:eastAsiaTheme="minorEastAsia" w:hAnsiTheme="minorHAnsi" w:cstheme="minorBidi"/>
      <w:color w:val="auto"/>
      <w:lang w:eastAsia="en-AU"/>
    </w:rPr>
  </w:style>
  <w:style w:type="paragraph" w:customStyle="1" w:styleId="ListBulletLevel3">
    <w:name w:val="List Bullet Level 3"/>
    <w:basedOn w:val="ListBulletLevel2"/>
    <w:qFormat/>
    <w:rsid w:val="00727E7F"/>
    <w:pPr>
      <w:numPr>
        <w:ilvl w:val="2"/>
      </w:numPr>
    </w:pPr>
  </w:style>
  <w:style w:type="paragraph" w:customStyle="1" w:styleId="ListNumberLevel2">
    <w:name w:val="List Number Level 2"/>
    <w:basedOn w:val="ListNumberedLevel1"/>
    <w:qFormat/>
    <w:rsid w:val="003769BE"/>
    <w:pPr>
      <w:numPr>
        <w:ilvl w:val="1"/>
      </w:numPr>
    </w:pPr>
  </w:style>
  <w:style w:type="paragraph" w:customStyle="1" w:styleId="ListNumberlevel3">
    <w:name w:val="List Number level 3"/>
    <w:basedOn w:val="ListNumberedLevel1"/>
    <w:qFormat/>
    <w:rsid w:val="003769BE"/>
    <w:pPr>
      <w:numPr>
        <w:ilvl w:val="2"/>
        <w:numId w:val="2"/>
      </w:numPr>
    </w:pPr>
  </w:style>
  <w:style w:type="paragraph" w:styleId="Subtitle">
    <w:name w:val="Subtitle"/>
    <w:basedOn w:val="Heading9"/>
    <w:next w:val="Normal"/>
    <w:link w:val="SubtitleChar"/>
    <w:uiPriority w:val="11"/>
    <w:rsid w:val="0058753F"/>
    <w:rPr>
      <w:i w:val="0"/>
    </w:rPr>
  </w:style>
  <w:style w:type="character" w:customStyle="1" w:styleId="SubtitleChar">
    <w:name w:val="Subtitle Char"/>
    <w:basedOn w:val="DefaultParagraphFont"/>
    <w:link w:val="Subtitle"/>
    <w:uiPriority w:val="11"/>
    <w:rsid w:val="0058753F"/>
    <w:rPr>
      <w:rFonts w:eastAsia="Calibri Light" w:cstheme="majorBidi"/>
      <w:iCs/>
      <w:color w:val="FFFFFF" w:themeColor="background1"/>
      <w:sz w:val="28"/>
      <w:szCs w:val="72"/>
      <w:lang w:eastAsia="en-US"/>
    </w:rPr>
  </w:style>
  <w:style w:type="paragraph" w:customStyle="1" w:styleId="SecurityClassification">
    <w:name w:val="Security Classification"/>
    <w:basedOn w:val="Header"/>
    <w:link w:val="SecurityClassificationChar"/>
    <w:qFormat/>
    <w:rsid w:val="006973CB"/>
    <w:pPr>
      <w:tabs>
        <w:tab w:val="clear" w:pos="9026"/>
      </w:tabs>
      <w:spacing w:before="0"/>
      <w:jc w:val="center"/>
    </w:pPr>
    <w:rPr>
      <w:b/>
      <w:color w:val="FFFFFF" w:themeColor="background1"/>
      <w:sz w:val="28"/>
      <w:szCs w:val="28"/>
    </w:rPr>
  </w:style>
  <w:style w:type="character" w:customStyle="1" w:styleId="Classification">
    <w:name w:val="Classification"/>
    <w:basedOn w:val="DefaultParagraphFont"/>
    <w:uiPriority w:val="1"/>
    <w:rsid w:val="0058753F"/>
    <w:rPr>
      <w:color w:val="FF0000"/>
    </w:rPr>
  </w:style>
  <w:style w:type="character" w:customStyle="1" w:styleId="SecurityClassificationChar">
    <w:name w:val="Security Classification Char"/>
    <w:basedOn w:val="HeaderChar"/>
    <w:link w:val="SecurityClassification"/>
    <w:rsid w:val="006973CB"/>
    <w:rPr>
      <w:rFonts w:eastAsia="Calibri Light"/>
      <w:b/>
      <w:color w:val="FFFFFF" w:themeColor="background1"/>
      <w:sz w:val="28"/>
      <w:szCs w:val="28"/>
      <w:lang w:eastAsia="en-US"/>
    </w:rPr>
  </w:style>
  <w:style w:type="paragraph" w:customStyle="1" w:styleId="Heading2CoverPage">
    <w:name w:val="Heading 2_Cover Page"/>
    <w:basedOn w:val="Heading2"/>
    <w:link w:val="Heading2CoverPageChar"/>
    <w:qFormat/>
    <w:rsid w:val="00243555"/>
    <w:rPr>
      <w:color w:val="FFFFFF" w:themeColor="background1"/>
    </w:rPr>
  </w:style>
  <w:style w:type="table" w:styleId="PlainTable2">
    <w:name w:val="Plain Table 2"/>
    <w:basedOn w:val="TableNormal"/>
    <w:uiPriority w:val="42"/>
    <w:rsid w:val="00E479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overPageChar">
    <w:name w:val="Heading 2_Cover Page Char"/>
    <w:basedOn w:val="Heading2Char"/>
    <w:link w:val="Heading2CoverPage"/>
    <w:rsid w:val="00243555"/>
    <w:rPr>
      <w:rFonts w:eastAsia="Calibri Light" w:cstheme="majorBidi"/>
      <w:b/>
      <w:color w:val="FFFFFF" w:themeColor="background1"/>
      <w:sz w:val="50"/>
      <w:szCs w:val="80"/>
      <w:lang w:eastAsia="en-US"/>
    </w:rPr>
  </w:style>
  <w:style w:type="table" w:styleId="PlainTable4">
    <w:name w:val="Plain Table 4"/>
    <w:basedOn w:val="TableNormal"/>
    <w:uiPriority w:val="44"/>
    <w:rsid w:val="00E479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E479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0">
    <w:name w:val="Table Heading"/>
    <w:basedOn w:val="Normal"/>
    <w:qFormat/>
    <w:rsid w:val="00E47901"/>
    <w:pPr>
      <w:keepNext/>
      <w:keepLines/>
      <w:framePr w:hSpace="181" w:wrap="around" w:vAnchor="text" w:hAnchor="margin" w:y="1"/>
    </w:pPr>
    <w:rPr>
      <w:b/>
      <w:color w:val="FFFFFF" w:themeColor="background1"/>
    </w:rPr>
  </w:style>
  <w:style w:type="table" w:styleId="TableSimple1">
    <w:name w:val="Table Simple 1"/>
    <w:basedOn w:val="TableNormal"/>
    <w:uiPriority w:val="99"/>
    <w:semiHidden/>
    <w:unhideWhenUsed/>
    <w:rsid w:val="00E47901"/>
    <w:pPr>
      <w:spacing w:before="120" w:after="12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geNumbers">
    <w:name w:val="Page Numbers"/>
    <w:basedOn w:val="Footer"/>
    <w:link w:val="PageNumbersChar"/>
    <w:qFormat/>
    <w:rsid w:val="007D0FF1"/>
  </w:style>
  <w:style w:type="character" w:customStyle="1" w:styleId="PageNumbersChar">
    <w:name w:val="Page Numbers Char"/>
    <w:basedOn w:val="FooterChar"/>
    <w:link w:val="PageNumbers"/>
    <w:rsid w:val="007D0FF1"/>
    <w:rPr>
      <w:rFonts w:eastAsia="Calibri Light"/>
      <w:b/>
      <w:color w:val="FFFFFF" w:themeColor="background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9929">
      <w:bodyDiv w:val="1"/>
      <w:marLeft w:val="0"/>
      <w:marRight w:val="0"/>
      <w:marTop w:val="0"/>
      <w:marBottom w:val="0"/>
      <w:divBdr>
        <w:top w:val="none" w:sz="0" w:space="0" w:color="auto"/>
        <w:left w:val="none" w:sz="0" w:space="0" w:color="auto"/>
        <w:bottom w:val="none" w:sz="0" w:space="0" w:color="auto"/>
        <w:right w:val="none" w:sz="0" w:space="0" w:color="auto"/>
      </w:divBdr>
    </w:div>
    <w:div w:id="142545881">
      <w:bodyDiv w:val="1"/>
      <w:marLeft w:val="0"/>
      <w:marRight w:val="0"/>
      <w:marTop w:val="0"/>
      <w:marBottom w:val="0"/>
      <w:divBdr>
        <w:top w:val="none" w:sz="0" w:space="0" w:color="auto"/>
        <w:left w:val="none" w:sz="0" w:space="0" w:color="auto"/>
        <w:bottom w:val="none" w:sz="0" w:space="0" w:color="auto"/>
        <w:right w:val="none" w:sz="0" w:space="0" w:color="auto"/>
      </w:divBdr>
      <w:divsChild>
        <w:div w:id="1456172250">
          <w:marLeft w:val="547"/>
          <w:marRight w:val="0"/>
          <w:marTop w:val="0"/>
          <w:marBottom w:val="0"/>
          <w:divBdr>
            <w:top w:val="none" w:sz="0" w:space="0" w:color="auto"/>
            <w:left w:val="none" w:sz="0" w:space="0" w:color="auto"/>
            <w:bottom w:val="none" w:sz="0" w:space="0" w:color="auto"/>
            <w:right w:val="none" w:sz="0" w:space="0" w:color="auto"/>
          </w:divBdr>
        </w:div>
      </w:divsChild>
    </w:div>
    <w:div w:id="262148102">
      <w:bodyDiv w:val="1"/>
      <w:marLeft w:val="0"/>
      <w:marRight w:val="0"/>
      <w:marTop w:val="0"/>
      <w:marBottom w:val="0"/>
      <w:divBdr>
        <w:top w:val="none" w:sz="0" w:space="0" w:color="auto"/>
        <w:left w:val="none" w:sz="0" w:space="0" w:color="auto"/>
        <w:bottom w:val="none" w:sz="0" w:space="0" w:color="auto"/>
        <w:right w:val="none" w:sz="0" w:space="0" w:color="auto"/>
      </w:divBdr>
      <w:divsChild>
        <w:div w:id="1103064622">
          <w:marLeft w:val="547"/>
          <w:marRight w:val="0"/>
          <w:marTop w:val="0"/>
          <w:marBottom w:val="0"/>
          <w:divBdr>
            <w:top w:val="none" w:sz="0" w:space="0" w:color="auto"/>
            <w:left w:val="none" w:sz="0" w:space="0" w:color="auto"/>
            <w:bottom w:val="none" w:sz="0" w:space="0" w:color="auto"/>
            <w:right w:val="none" w:sz="0" w:space="0" w:color="auto"/>
          </w:divBdr>
        </w:div>
      </w:divsChild>
    </w:div>
    <w:div w:id="336348688">
      <w:bodyDiv w:val="1"/>
      <w:marLeft w:val="0"/>
      <w:marRight w:val="0"/>
      <w:marTop w:val="0"/>
      <w:marBottom w:val="0"/>
      <w:divBdr>
        <w:top w:val="none" w:sz="0" w:space="0" w:color="auto"/>
        <w:left w:val="none" w:sz="0" w:space="0" w:color="auto"/>
        <w:bottom w:val="none" w:sz="0" w:space="0" w:color="auto"/>
        <w:right w:val="none" w:sz="0" w:space="0" w:color="auto"/>
      </w:divBdr>
    </w:div>
    <w:div w:id="625505254">
      <w:bodyDiv w:val="1"/>
      <w:marLeft w:val="0"/>
      <w:marRight w:val="0"/>
      <w:marTop w:val="0"/>
      <w:marBottom w:val="0"/>
      <w:divBdr>
        <w:top w:val="none" w:sz="0" w:space="0" w:color="auto"/>
        <w:left w:val="none" w:sz="0" w:space="0" w:color="auto"/>
        <w:bottom w:val="none" w:sz="0" w:space="0" w:color="auto"/>
        <w:right w:val="none" w:sz="0" w:space="0" w:color="auto"/>
      </w:divBdr>
      <w:divsChild>
        <w:div w:id="1917275346">
          <w:marLeft w:val="547"/>
          <w:marRight w:val="0"/>
          <w:marTop w:val="0"/>
          <w:marBottom w:val="0"/>
          <w:divBdr>
            <w:top w:val="none" w:sz="0" w:space="0" w:color="auto"/>
            <w:left w:val="none" w:sz="0" w:space="0" w:color="auto"/>
            <w:bottom w:val="none" w:sz="0" w:space="0" w:color="auto"/>
            <w:right w:val="none" w:sz="0" w:space="0" w:color="auto"/>
          </w:divBdr>
        </w:div>
      </w:divsChild>
    </w:div>
    <w:div w:id="895360505">
      <w:bodyDiv w:val="1"/>
      <w:marLeft w:val="0"/>
      <w:marRight w:val="0"/>
      <w:marTop w:val="0"/>
      <w:marBottom w:val="0"/>
      <w:divBdr>
        <w:top w:val="none" w:sz="0" w:space="0" w:color="auto"/>
        <w:left w:val="none" w:sz="0" w:space="0" w:color="auto"/>
        <w:bottom w:val="none" w:sz="0" w:space="0" w:color="auto"/>
        <w:right w:val="none" w:sz="0" w:space="0" w:color="auto"/>
      </w:divBdr>
      <w:divsChild>
        <w:div w:id="2040738411">
          <w:marLeft w:val="547"/>
          <w:marRight w:val="0"/>
          <w:marTop w:val="0"/>
          <w:marBottom w:val="0"/>
          <w:divBdr>
            <w:top w:val="none" w:sz="0" w:space="0" w:color="auto"/>
            <w:left w:val="none" w:sz="0" w:space="0" w:color="auto"/>
            <w:bottom w:val="none" w:sz="0" w:space="0" w:color="auto"/>
            <w:right w:val="none" w:sz="0" w:space="0" w:color="auto"/>
          </w:divBdr>
        </w:div>
        <w:div w:id="1576431258">
          <w:marLeft w:val="547"/>
          <w:marRight w:val="0"/>
          <w:marTop w:val="0"/>
          <w:marBottom w:val="0"/>
          <w:divBdr>
            <w:top w:val="none" w:sz="0" w:space="0" w:color="auto"/>
            <w:left w:val="none" w:sz="0" w:space="0" w:color="auto"/>
            <w:bottom w:val="none" w:sz="0" w:space="0" w:color="auto"/>
            <w:right w:val="none" w:sz="0" w:space="0" w:color="auto"/>
          </w:divBdr>
        </w:div>
        <w:div w:id="1260605273">
          <w:marLeft w:val="547"/>
          <w:marRight w:val="0"/>
          <w:marTop w:val="0"/>
          <w:marBottom w:val="0"/>
          <w:divBdr>
            <w:top w:val="none" w:sz="0" w:space="0" w:color="auto"/>
            <w:left w:val="none" w:sz="0" w:space="0" w:color="auto"/>
            <w:bottom w:val="none" w:sz="0" w:space="0" w:color="auto"/>
            <w:right w:val="none" w:sz="0" w:space="0" w:color="auto"/>
          </w:divBdr>
        </w:div>
      </w:divsChild>
    </w:div>
    <w:div w:id="1112096482">
      <w:bodyDiv w:val="1"/>
      <w:marLeft w:val="0"/>
      <w:marRight w:val="0"/>
      <w:marTop w:val="0"/>
      <w:marBottom w:val="0"/>
      <w:divBdr>
        <w:top w:val="none" w:sz="0" w:space="0" w:color="auto"/>
        <w:left w:val="none" w:sz="0" w:space="0" w:color="auto"/>
        <w:bottom w:val="none" w:sz="0" w:space="0" w:color="auto"/>
        <w:right w:val="none" w:sz="0" w:space="0" w:color="auto"/>
      </w:divBdr>
      <w:divsChild>
        <w:div w:id="725883464">
          <w:marLeft w:val="547"/>
          <w:marRight w:val="0"/>
          <w:marTop w:val="0"/>
          <w:marBottom w:val="0"/>
          <w:divBdr>
            <w:top w:val="none" w:sz="0" w:space="0" w:color="auto"/>
            <w:left w:val="none" w:sz="0" w:space="0" w:color="auto"/>
            <w:bottom w:val="none" w:sz="0" w:space="0" w:color="auto"/>
            <w:right w:val="none" w:sz="0" w:space="0" w:color="auto"/>
          </w:divBdr>
        </w:div>
      </w:divsChild>
    </w:div>
    <w:div w:id="1199122549">
      <w:bodyDiv w:val="1"/>
      <w:marLeft w:val="0"/>
      <w:marRight w:val="0"/>
      <w:marTop w:val="0"/>
      <w:marBottom w:val="0"/>
      <w:divBdr>
        <w:top w:val="none" w:sz="0" w:space="0" w:color="auto"/>
        <w:left w:val="none" w:sz="0" w:space="0" w:color="auto"/>
        <w:bottom w:val="none" w:sz="0" w:space="0" w:color="auto"/>
        <w:right w:val="none" w:sz="0" w:space="0" w:color="auto"/>
      </w:divBdr>
      <w:divsChild>
        <w:div w:id="1912618404">
          <w:marLeft w:val="547"/>
          <w:marRight w:val="0"/>
          <w:marTop w:val="0"/>
          <w:marBottom w:val="0"/>
          <w:divBdr>
            <w:top w:val="none" w:sz="0" w:space="0" w:color="auto"/>
            <w:left w:val="none" w:sz="0" w:space="0" w:color="auto"/>
            <w:bottom w:val="none" w:sz="0" w:space="0" w:color="auto"/>
            <w:right w:val="none" w:sz="0" w:space="0" w:color="auto"/>
          </w:divBdr>
        </w:div>
      </w:divsChild>
    </w:div>
    <w:div w:id="1199928544">
      <w:bodyDiv w:val="1"/>
      <w:marLeft w:val="0"/>
      <w:marRight w:val="0"/>
      <w:marTop w:val="0"/>
      <w:marBottom w:val="0"/>
      <w:divBdr>
        <w:top w:val="none" w:sz="0" w:space="0" w:color="auto"/>
        <w:left w:val="none" w:sz="0" w:space="0" w:color="auto"/>
        <w:bottom w:val="none" w:sz="0" w:space="0" w:color="auto"/>
        <w:right w:val="none" w:sz="0" w:space="0" w:color="auto"/>
      </w:divBdr>
    </w:div>
    <w:div w:id="1477794284">
      <w:bodyDiv w:val="1"/>
      <w:marLeft w:val="0"/>
      <w:marRight w:val="0"/>
      <w:marTop w:val="0"/>
      <w:marBottom w:val="0"/>
      <w:divBdr>
        <w:top w:val="none" w:sz="0" w:space="0" w:color="auto"/>
        <w:left w:val="none" w:sz="0" w:space="0" w:color="auto"/>
        <w:bottom w:val="none" w:sz="0" w:space="0" w:color="auto"/>
        <w:right w:val="none" w:sz="0" w:space="0" w:color="auto"/>
      </w:divBdr>
    </w:div>
    <w:div w:id="1496385007">
      <w:bodyDiv w:val="1"/>
      <w:marLeft w:val="0"/>
      <w:marRight w:val="0"/>
      <w:marTop w:val="0"/>
      <w:marBottom w:val="0"/>
      <w:divBdr>
        <w:top w:val="none" w:sz="0" w:space="0" w:color="auto"/>
        <w:left w:val="none" w:sz="0" w:space="0" w:color="auto"/>
        <w:bottom w:val="none" w:sz="0" w:space="0" w:color="auto"/>
        <w:right w:val="none" w:sz="0" w:space="0" w:color="auto"/>
      </w:divBdr>
      <w:divsChild>
        <w:div w:id="941033221">
          <w:marLeft w:val="547"/>
          <w:marRight w:val="0"/>
          <w:marTop w:val="0"/>
          <w:marBottom w:val="0"/>
          <w:divBdr>
            <w:top w:val="none" w:sz="0" w:space="0" w:color="auto"/>
            <w:left w:val="none" w:sz="0" w:space="0" w:color="auto"/>
            <w:bottom w:val="none" w:sz="0" w:space="0" w:color="auto"/>
            <w:right w:val="none" w:sz="0" w:space="0" w:color="auto"/>
          </w:divBdr>
        </w:div>
      </w:divsChild>
    </w:div>
    <w:div w:id="1544175371">
      <w:bodyDiv w:val="1"/>
      <w:marLeft w:val="0"/>
      <w:marRight w:val="0"/>
      <w:marTop w:val="0"/>
      <w:marBottom w:val="0"/>
      <w:divBdr>
        <w:top w:val="none" w:sz="0" w:space="0" w:color="auto"/>
        <w:left w:val="none" w:sz="0" w:space="0" w:color="auto"/>
        <w:bottom w:val="none" w:sz="0" w:space="0" w:color="auto"/>
        <w:right w:val="none" w:sz="0" w:space="0" w:color="auto"/>
      </w:divBdr>
      <w:divsChild>
        <w:div w:id="946809580">
          <w:marLeft w:val="547"/>
          <w:marRight w:val="0"/>
          <w:marTop w:val="0"/>
          <w:marBottom w:val="0"/>
          <w:divBdr>
            <w:top w:val="none" w:sz="0" w:space="0" w:color="auto"/>
            <w:left w:val="none" w:sz="0" w:space="0" w:color="auto"/>
            <w:bottom w:val="none" w:sz="0" w:space="0" w:color="auto"/>
            <w:right w:val="none" w:sz="0" w:space="0" w:color="auto"/>
          </w:divBdr>
        </w:div>
        <w:div w:id="1310941400">
          <w:marLeft w:val="547"/>
          <w:marRight w:val="0"/>
          <w:marTop w:val="0"/>
          <w:marBottom w:val="0"/>
          <w:divBdr>
            <w:top w:val="none" w:sz="0" w:space="0" w:color="auto"/>
            <w:left w:val="none" w:sz="0" w:space="0" w:color="auto"/>
            <w:bottom w:val="none" w:sz="0" w:space="0" w:color="auto"/>
            <w:right w:val="none" w:sz="0" w:space="0" w:color="auto"/>
          </w:divBdr>
        </w:div>
      </w:divsChild>
    </w:div>
    <w:div w:id="1768118894">
      <w:bodyDiv w:val="1"/>
      <w:marLeft w:val="0"/>
      <w:marRight w:val="0"/>
      <w:marTop w:val="0"/>
      <w:marBottom w:val="0"/>
      <w:divBdr>
        <w:top w:val="none" w:sz="0" w:space="0" w:color="auto"/>
        <w:left w:val="none" w:sz="0" w:space="0" w:color="auto"/>
        <w:bottom w:val="none" w:sz="0" w:space="0" w:color="auto"/>
        <w:right w:val="none" w:sz="0" w:space="0" w:color="auto"/>
      </w:divBdr>
    </w:div>
    <w:div w:id="1781879818">
      <w:bodyDiv w:val="1"/>
      <w:marLeft w:val="0"/>
      <w:marRight w:val="0"/>
      <w:marTop w:val="0"/>
      <w:marBottom w:val="0"/>
      <w:divBdr>
        <w:top w:val="none" w:sz="0" w:space="0" w:color="auto"/>
        <w:left w:val="none" w:sz="0" w:space="0" w:color="auto"/>
        <w:bottom w:val="none" w:sz="0" w:space="0" w:color="auto"/>
        <w:right w:val="none" w:sz="0" w:space="0" w:color="auto"/>
      </w:divBdr>
      <w:divsChild>
        <w:div w:id="1610821516">
          <w:marLeft w:val="547"/>
          <w:marRight w:val="0"/>
          <w:marTop w:val="0"/>
          <w:marBottom w:val="0"/>
          <w:divBdr>
            <w:top w:val="none" w:sz="0" w:space="0" w:color="auto"/>
            <w:left w:val="none" w:sz="0" w:space="0" w:color="auto"/>
            <w:bottom w:val="none" w:sz="0" w:space="0" w:color="auto"/>
            <w:right w:val="none" w:sz="0" w:space="0" w:color="auto"/>
          </w:divBdr>
        </w:div>
        <w:div w:id="588268782">
          <w:marLeft w:val="547"/>
          <w:marRight w:val="0"/>
          <w:marTop w:val="0"/>
          <w:marBottom w:val="0"/>
          <w:divBdr>
            <w:top w:val="none" w:sz="0" w:space="0" w:color="auto"/>
            <w:left w:val="none" w:sz="0" w:space="0" w:color="auto"/>
            <w:bottom w:val="none" w:sz="0" w:space="0" w:color="auto"/>
            <w:right w:val="none" w:sz="0" w:space="0" w:color="auto"/>
          </w:divBdr>
        </w:div>
        <w:div w:id="383525393">
          <w:marLeft w:val="547"/>
          <w:marRight w:val="0"/>
          <w:marTop w:val="0"/>
          <w:marBottom w:val="0"/>
          <w:divBdr>
            <w:top w:val="none" w:sz="0" w:space="0" w:color="auto"/>
            <w:left w:val="none" w:sz="0" w:space="0" w:color="auto"/>
            <w:bottom w:val="none" w:sz="0" w:space="0" w:color="auto"/>
            <w:right w:val="none" w:sz="0" w:space="0" w:color="auto"/>
          </w:divBdr>
        </w:div>
      </w:divsChild>
    </w:div>
    <w:div w:id="2056613347">
      <w:bodyDiv w:val="1"/>
      <w:marLeft w:val="0"/>
      <w:marRight w:val="0"/>
      <w:marTop w:val="0"/>
      <w:marBottom w:val="0"/>
      <w:divBdr>
        <w:top w:val="none" w:sz="0" w:space="0" w:color="auto"/>
        <w:left w:val="none" w:sz="0" w:space="0" w:color="auto"/>
        <w:bottom w:val="none" w:sz="0" w:space="0" w:color="auto"/>
        <w:right w:val="none" w:sz="0" w:space="0" w:color="auto"/>
      </w:divBdr>
    </w:div>
    <w:div w:id="2144499489">
      <w:bodyDiv w:val="1"/>
      <w:marLeft w:val="0"/>
      <w:marRight w:val="0"/>
      <w:marTop w:val="0"/>
      <w:marBottom w:val="0"/>
      <w:divBdr>
        <w:top w:val="none" w:sz="0" w:space="0" w:color="auto"/>
        <w:left w:val="none" w:sz="0" w:space="0" w:color="auto"/>
        <w:bottom w:val="none" w:sz="0" w:space="0" w:color="auto"/>
        <w:right w:val="none" w:sz="0" w:space="0" w:color="auto"/>
      </w:divBdr>
      <w:divsChild>
        <w:div w:id="3447936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ulian\AppData\Local\Microsoft\Windows\INetCache\Content.Outlook\FWQ698YV\Word_template_bluegum_0209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644ea3-800d-4a89-88f6-d2a9ed95e7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1A4C4F94E684F95008F7FAE4D375C" ma:contentTypeVersion="11" ma:contentTypeDescription="Create a new document." ma:contentTypeScope="" ma:versionID="d7ff33416c0495e6a62882f58840a571">
  <xsd:schema xmlns:xsd="http://www.w3.org/2001/XMLSchema" xmlns:xs="http://www.w3.org/2001/XMLSchema" xmlns:p="http://schemas.microsoft.com/office/2006/metadata/properties" xmlns:ns2="63644ea3-800d-4a89-88f6-d2a9ed95e752" xmlns:ns3="77822ec2-e211-4aa1-ae02-d65daf1c91c9" targetNamespace="http://schemas.microsoft.com/office/2006/metadata/properties" ma:root="true" ma:fieldsID="2892d1c3a18e6585e2cebe633ba22c9e" ns2:_="" ns3:_="">
    <xsd:import namespace="63644ea3-800d-4a89-88f6-d2a9ed95e752"/>
    <xsd:import namespace="77822ec2-e211-4aa1-ae02-d65daf1c91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44ea3-800d-4a89-88f6-d2a9ed95e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22ec2-e211-4aa1-ae02-d65daf1c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F11CE-D394-4012-8130-5960794EEBFE}">
  <ds:schemaRefs>
    <ds:schemaRef ds:uri="http://schemas.microsoft.com/office/2006/metadata/properties"/>
    <ds:schemaRef ds:uri="http://schemas.microsoft.com/office/infopath/2007/PartnerControls"/>
    <ds:schemaRef ds:uri="63644ea3-800d-4a89-88f6-d2a9ed95e752"/>
  </ds:schemaRefs>
</ds:datastoreItem>
</file>

<file path=customXml/itemProps2.xml><?xml version="1.0" encoding="utf-8"?>
<ds:datastoreItem xmlns:ds="http://schemas.openxmlformats.org/officeDocument/2006/customXml" ds:itemID="{DA8549C9-765F-4474-8523-E4A1A690F946}">
  <ds:schemaRefs>
    <ds:schemaRef ds:uri="http://schemas.openxmlformats.org/officeDocument/2006/bibliography"/>
  </ds:schemaRefs>
</ds:datastoreItem>
</file>

<file path=customXml/itemProps3.xml><?xml version="1.0" encoding="utf-8"?>
<ds:datastoreItem xmlns:ds="http://schemas.openxmlformats.org/officeDocument/2006/customXml" ds:itemID="{0677FD7B-3EBB-4DF6-90D1-2B0CB298F8E9}">
  <ds:schemaRefs>
    <ds:schemaRef ds:uri="http://schemas.microsoft.com/sharepoint/v3/contenttype/forms"/>
  </ds:schemaRefs>
</ds:datastoreItem>
</file>

<file path=customXml/itemProps4.xml><?xml version="1.0" encoding="utf-8"?>
<ds:datastoreItem xmlns:ds="http://schemas.openxmlformats.org/officeDocument/2006/customXml" ds:itemID="{6D6EB369-D520-4CF4-A562-84A616E7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44ea3-800d-4a89-88f6-d2a9ed95e752"/>
    <ds:schemaRef ds:uri="77822ec2-e211-4aa1-ae02-d65daf1c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Word_template_bluegum_02092022.dotx</Template>
  <TotalTime>2</TotalTime>
  <Pages>8</Pages>
  <Words>3299</Words>
  <Characters>20986</Characters>
  <Application>Microsoft Office Word</Application>
  <DocSecurity>0</DocSecurity>
  <Lines>388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Regional Health Programming Priorities - Summary</dc:title>
  <dc:subject/>
  <dc:creator>Julian, Josephine</dc:creator>
  <cp:keywords>public health, Pacific, Southeast Asia</cp:keywords>
  <dc:description/>
  <cp:lastModifiedBy>Amita Monterola</cp:lastModifiedBy>
  <cp:revision>4</cp:revision>
  <cp:lastPrinted>2022-09-15T06:36:00Z</cp:lastPrinted>
  <dcterms:created xsi:type="dcterms:W3CDTF">2023-02-17T08:27:00Z</dcterms:created>
  <dcterms:modified xsi:type="dcterms:W3CDTF">2023-02-20T00:18:00Z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CE083480092542E2B3E130279D14D938</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Hash_Version">
    <vt:lpwstr>2018.0</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0x01010049E1A4C4F94E684F95008F7FAE4D375C</vt:lpwstr>
  </property>
  <property fmtid="{D5CDD505-2E9C-101B-9397-08002B2CF9AE}" pid="20" name="MediaServiceImageTags">
    <vt:lpwstr/>
  </property>
  <property fmtid="{D5CDD505-2E9C-101B-9397-08002B2CF9AE}" pid="21" name="PM_Display">
    <vt:lpwstr>OFFICIAL</vt:lpwstr>
  </property>
  <property fmtid="{D5CDD505-2E9C-101B-9397-08002B2CF9AE}" pid="22" name="PM_OriginatorUserAccountName_SHA256">
    <vt:lpwstr>B6CEB0C4871362D756A6FA4E4B456F64AD1817F36AC793F4901A6CF953069921</vt:lpwstr>
  </property>
  <property fmtid="{D5CDD505-2E9C-101B-9397-08002B2CF9AE}" pid="23" name="PM_OriginatorDomainName_SHA256">
    <vt:lpwstr>6F3591835F3B2A8A025B00B5BA6418010DA3A17C9C26EA9C049FFD28039489A2</vt:lpwstr>
  </property>
  <property fmtid="{D5CDD505-2E9C-101B-9397-08002B2CF9AE}" pid="24" name="PM_Originator_Hash_SHA1">
    <vt:lpwstr>9AD448385A9916170E40217FB81EBDA90DA67CB1</vt:lpwstr>
  </property>
  <property fmtid="{D5CDD505-2E9C-101B-9397-08002B2CF9AE}" pid="25" name="PM_OriginationTimeStamp">
    <vt:lpwstr>2023-02-17T08:28:16Z</vt:lpwstr>
  </property>
  <property fmtid="{D5CDD505-2E9C-101B-9397-08002B2CF9AE}" pid="26" name="PM_Hash_Salt_Prev">
    <vt:lpwstr>94F17E684DAAF8C17B99704D619B8008</vt:lpwstr>
  </property>
  <property fmtid="{D5CDD505-2E9C-101B-9397-08002B2CF9AE}" pid="27" name="PM_Hash_Salt">
    <vt:lpwstr>94E3D126DDA1982B1650F7CC2288622B</vt:lpwstr>
  </property>
  <property fmtid="{D5CDD505-2E9C-101B-9397-08002B2CF9AE}" pid="28" name="PM_Hash_SHA1">
    <vt:lpwstr>3B31CAA54537823B0AF0F17891864082555056C6</vt:lpwstr>
  </property>
  <property fmtid="{D5CDD505-2E9C-101B-9397-08002B2CF9AE}" pid="29" name="PM_MinimumSecurityClassification">
    <vt:lpwstr>OFFICIAL</vt:lpwstr>
  </property>
  <property fmtid="{D5CDD505-2E9C-101B-9397-08002B2CF9AE}" pid="30" name="PMUuid">
    <vt:lpwstr>ABBFF5E2-9674-55C9-B08D-C9980002FD58</vt:lpwstr>
  </property>
  <property fmtid="{D5CDD505-2E9C-101B-9397-08002B2CF9AE}" pid="31" name="PMUuidVer">
    <vt:lpwstr>2022.1</vt:lpwstr>
  </property>
</Properties>
</file>