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49C3" w14:textId="76A90537" w:rsidR="00AD3390" w:rsidRPr="006A2E97" w:rsidRDefault="1E5EB622" w:rsidP="32E9BD50">
      <w:pPr>
        <w:pStyle w:val="Subtitle"/>
        <w:spacing w:before="0"/>
        <w:rPr>
          <w:rFonts w:asciiTheme="majorHAnsi" w:hAnsiTheme="majorHAnsi" w:cstheme="majorBidi"/>
          <w:b/>
          <w:bCs/>
          <w:color w:val="00837C"/>
          <w:spacing w:val="0"/>
          <w:sz w:val="34"/>
          <w:szCs w:val="34"/>
        </w:rPr>
      </w:pPr>
      <w:r w:rsidRPr="32E9BD50">
        <w:rPr>
          <w:rFonts w:asciiTheme="majorHAnsi" w:hAnsiTheme="majorHAnsi" w:cstheme="majorBidi"/>
          <w:b/>
          <w:bCs/>
          <w:color w:val="00837C"/>
          <w:spacing w:val="0"/>
          <w:sz w:val="34"/>
          <w:szCs w:val="34"/>
        </w:rPr>
        <w:t xml:space="preserve">Monitoring, Evaluation and Learning </w:t>
      </w:r>
      <w:r w:rsidR="07CF7908" w:rsidRPr="32E9BD50">
        <w:rPr>
          <w:rFonts w:asciiTheme="majorHAnsi" w:hAnsiTheme="majorHAnsi" w:cstheme="majorBidi"/>
          <w:b/>
          <w:bCs/>
          <w:color w:val="00837C"/>
          <w:spacing w:val="0"/>
          <w:sz w:val="34"/>
          <w:szCs w:val="34"/>
        </w:rPr>
        <w:t>–</w:t>
      </w:r>
      <w:r w:rsidR="2C48786F" w:rsidRPr="32E9BD50">
        <w:rPr>
          <w:rFonts w:asciiTheme="majorHAnsi" w:hAnsiTheme="majorHAnsi" w:cstheme="majorBidi"/>
          <w:b/>
          <w:bCs/>
          <w:color w:val="00837C"/>
          <w:spacing w:val="0"/>
          <w:sz w:val="34"/>
          <w:szCs w:val="34"/>
        </w:rPr>
        <w:t xml:space="preserve"> </w:t>
      </w:r>
      <w:r w:rsidR="07CF7908" w:rsidRPr="32E9BD50">
        <w:rPr>
          <w:rFonts w:asciiTheme="majorHAnsi" w:hAnsiTheme="majorHAnsi" w:cstheme="majorBidi"/>
          <w:b/>
          <w:bCs/>
          <w:color w:val="00837C"/>
          <w:spacing w:val="0"/>
          <w:sz w:val="34"/>
          <w:szCs w:val="34"/>
        </w:rPr>
        <w:t>Guidance</w:t>
      </w:r>
      <w:r w:rsidR="34A6A77E" w:rsidRPr="32E9BD50">
        <w:rPr>
          <w:rFonts w:asciiTheme="majorHAnsi" w:hAnsiTheme="majorHAnsi" w:cstheme="majorBidi"/>
          <w:b/>
          <w:bCs/>
          <w:color w:val="00837C"/>
          <w:spacing w:val="0"/>
          <w:sz w:val="34"/>
          <w:szCs w:val="34"/>
        </w:rPr>
        <w:t xml:space="preserve"> </w:t>
      </w:r>
      <w:r w:rsidR="3099AF96" w:rsidRPr="32E9BD50">
        <w:rPr>
          <w:rFonts w:asciiTheme="majorHAnsi" w:hAnsiTheme="majorHAnsi" w:cstheme="majorBidi"/>
          <w:b/>
          <w:bCs/>
          <w:color w:val="00837C"/>
          <w:spacing w:val="0"/>
          <w:sz w:val="34"/>
          <w:szCs w:val="34"/>
        </w:rPr>
        <w:t>Note</w:t>
      </w:r>
      <w:r w:rsidR="30E39332" w:rsidRPr="32E9BD50">
        <w:rPr>
          <w:rFonts w:asciiTheme="majorHAnsi" w:hAnsiTheme="majorHAnsi" w:cstheme="majorBidi"/>
          <w:b/>
          <w:bCs/>
          <w:color w:val="00837C"/>
          <w:spacing w:val="0"/>
          <w:sz w:val="34"/>
          <w:szCs w:val="34"/>
        </w:rPr>
        <w:t xml:space="preserve"> for</w:t>
      </w:r>
      <w:r w:rsidR="0DD01B4A" w:rsidRPr="32E9BD50">
        <w:rPr>
          <w:rFonts w:asciiTheme="majorHAnsi" w:hAnsiTheme="majorHAnsi" w:cstheme="majorBidi"/>
          <w:b/>
          <w:bCs/>
          <w:color w:val="00837C"/>
          <w:spacing w:val="0"/>
          <w:sz w:val="34"/>
          <w:szCs w:val="34"/>
        </w:rPr>
        <w:t xml:space="preserve"> Partner-led</w:t>
      </w:r>
      <w:r w:rsidR="30E39332" w:rsidRPr="32E9BD50">
        <w:rPr>
          <w:rFonts w:asciiTheme="majorHAnsi" w:hAnsiTheme="majorHAnsi" w:cstheme="majorBidi"/>
          <w:b/>
          <w:bCs/>
          <w:color w:val="00837C"/>
          <w:spacing w:val="0"/>
          <w:sz w:val="34"/>
          <w:szCs w:val="34"/>
        </w:rPr>
        <w:t xml:space="preserve"> </w:t>
      </w:r>
      <w:r w:rsidR="001F472C" w:rsidRPr="32E9BD50">
        <w:rPr>
          <w:rFonts w:asciiTheme="majorHAnsi" w:hAnsiTheme="majorHAnsi" w:cstheme="majorBidi"/>
          <w:b/>
          <w:bCs/>
          <w:color w:val="00837C"/>
          <w:spacing w:val="0"/>
          <w:sz w:val="34"/>
          <w:szCs w:val="34"/>
        </w:rPr>
        <w:t>Designs.</w:t>
      </w:r>
    </w:p>
    <w:p w14:paraId="5BAB22CE" w14:textId="77777777" w:rsidR="002E7A59" w:rsidRDefault="002E7A59" w:rsidP="00A909F2">
      <w:pPr>
        <w:pStyle w:val="Heading2"/>
      </w:pPr>
      <w:r>
        <w:t>Glossary</w:t>
      </w:r>
    </w:p>
    <w:p w14:paraId="3432353A" w14:textId="492F1E72" w:rsidR="00C23C52" w:rsidRPr="000A0AE1" w:rsidRDefault="000A0AE1" w:rsidP="000A0AE1">
      <w:pPr>
        <w:pStyle w:val="Listparagraphbullets"/>
        <w:rPr>
          <w:rStyle w:val="IntenseEmphasis"/>
        </w:rPr>
      </w:pPr>
      <w:r w:rsidRPr="000A0AE1">
        <w:rPr>
          <w:rStyle w:val="IntenseEmphasis"/>
        </w:rPr>
        <w:t xml:space="preserve">A </w:t>
      </w:r>
      <w:r w:rsidR="00A92EC3" w:rsidRPr="000A0AE1">
        <w:rPr>
          <w:rStyle w:val="IntenseEmphasis"/>
        </w:rPr>
        <w:t>Program Logic</w:t>
      </w:r>
      <w:r>
        <w:rPr>
          <w:rStyle w:val="IntenseEmphasis"/>
        </w:rPr>
        <w:t xml:space="preserve"> (PL)</w:t>
      </w:r>
      <w:r w:rsidRPr="000A0AE1">
        <w:rPr>
          <w:rStyle w:val="IntenseEmphasis"/>
        </w:rPr>
        <w:t xml:space="preserve"> </w:t>
      </w:r>
      <w:r w:rsidRPr="000A0AE1">
        <w:rPr>
          <w:rStyle w:val="IntenseEmphasis"/>
          <w:i w:val="0"/>
          <w:iCs w:val="0"/>
        </w:rPr>
        <w:t>is</w:t>
      </w:r>
      <w:r w:rsidRPr="000A0AE1">
        <w:rPr>
          <w:rStyle w:val="IntenseEmphasis"/>
        </w:rPr>
        <w:t xml:space="preserve"> </w:t>
      </w:r>
      <w:r w:rsidRPr="005F3D62">
        <w:rPr>
          <w:rStyle w:val="normaltextrun"/>
          <w:color w:val="333333"/>
          <w:shd w:val="clear" w:color="auto" w:fill="FFFFFF"/>
        </w:rPr>
        <w:t xml:space="preserve">a </w:t>
      </w:r>
      <w:r w:rsidR="00AA4211" w:rsidRPr="005F3D62">
        <w:rPr>
          <w:rStyle w:val="normaltextrun"/>
          <w:color w:val="333333"/>
          <w:shd w:val="clear" w:color="auto" w:fill="FFFFFF"/>
        </w:rPr>
        <w:t>diagram that describes how change is expected to occur in a particular context</w:t>
      </w:r>
      <w:r w:rsidR="007E1646">
        <w:rPr>
          <w:rStyle w:val="normaltextrun"/>
          <w:color w:val="333333"/>
          <w:shd w:val="clear" w:color="auto" w:fill="FFFFFF"/>
        </w:rPr>
        <w:t xml:space="preserve"> </w:t>
      </w:r>
      <w:r w:rsidR="00AA4211" w:rsidRPr="005F3D62">
        <w:rPr>
          <w:rStyle w:val="normaltextrun"/>
          <w:color w:val="333333"/>
          <w:shd w:val="clear" w:color="auto" w:fill="FFFFFF"/>
        </w:rPr>
        <w:t xml:space="preserve">by </w:t>
      </w:r>
      <w:r w:rsidR="00AD163B">
        <w:rPr>
          <w:rStyle w:val="normaltextrun"/>
          <w:color w:val="333333"/>
          <w:shd w:val="clear" w:color="auto" w:fill="FFFFFF"/>
        </w:rPr>
        <w:t>presenting</w:t>
      </w:r>
      <w:r w:rsidR="00AA4211" w:rsidRPr="005F3D62">
        <w:rPr>
          <w:rStyle w:val="normaltextrun"/>
          <w:color w:val="333333"/>
          <w:shd w:val="clear" w:color="auto" w:fill="FFFFFF"/>
        </w:rPr>
        <w:t xml:space="preserve"> the causal linkages between outputs, intermediate outcomes and </w:t>
      </w:r>
      <w:r w:rsidR="006A0860">
        <w:rPr>
          <w:rStyle w:val="normaltextrun"/>
          <w:color w:val="333333"/>
          <w:shd w:val="clear" w:color="auto" w:fill="FFFFFF"/>
        </w:rPr>
        <w:t xml:space="preserve">ultimately the </w:t>
      </w:r>
      <w:r w:rsidR="00AA4211" w:rsidRPr="005F3D62">
        <w:rPr>
          <w:rStyle w:val="normaltextrun"/>
          <w:color w:val="333333"/>
          <w:shd w:val="clear" w:color="auto" w:fill="FFFFFF"/>
        </w:rPr>
        <w:t xml:space="preserve">end of </w:t>
      </w:r>
      <w:r w:rsidR="00C90C1B">
        <w:rPr>
          <w:rStyle w:val="normaltextrun"/>
          <w:color w:val="333333"/>
          <w:shd w:val="clear" w:color="auto" w:fill="FFFFFF"/>
        </w:rPr>
        <w:t>program outcomes</w:t>
      </w:r>
      <w:r w:rsidR="00AA4211" w:rsidRPr="005F3D62">
        <w:rPr>
          <w:rStyle w:val="normaltextrun"/>
          <w:color w:val="333333"/>
          <w:shd w:val="clear" w:color="auto" w:fill="FFFFFF"/>
        </w:rPr>
        <w:t xml:space="preserve">. </w:t>
      </w:r>
      <w:r w:rsidR="009E10AC">
        <w:rPr>
          <w:rStyle w:val="normaltextrun"/>
          <w:i/>
          <w:iCs/>
          <w:color w:val="333333"/>
          <w:shd w:val="clear" w:color="auto" w:fill="FFFFFF"/>
        </w:rPr>
        <w:t>The p</w:t>
      </w:r>
      <w:r w:rsidR="000C2296">
        <w:rPr>
          <w:rStyle w:val="normaltextrun"/>
          <w:i/>
          <w:iCs/>
          <w:color w:val="333333"/>
          <w:shd w:val="clear" w:color="auto" w:fill="FFFFFF"/>
        </w:rPr>
        <w:t>artner-led</w:t>
      </w:r>
      <w:r w:rsidR="009E10AC">
        <w:rPr>
          <w:rStyle w:val="normaltextrun"/>
          <w:i/>
          <w:iCs/>
          <w:color w:val="333333"/>
          <w:shd w:val="clear" w:color="auto" w:fill="FFFFFF"/>
        </w:rPr>
        <w:t xml:space="preserve"> design requires a program logic. </w:t>
      </w:r>
    </w:p>
    <w:p w14:paraId="2468B1CD" w14:textId="072B4FF2" w:rsidR="00F53221" w:rsidRPr="000A0AE1" w:rsidRDefault="000A0AE1" w:rsidP="000A0AE1">
      <w:pPr>
        <w:pStyle w:val="Listparagraphbullets"/>
        <w:rPr>
          <w:rStyle w:val="IntenseEmphasis"/>
        </w:rPr>
      </w:pPr>
      <w:r w:rsidRPr="000A0AE1">
        <w:rPr>
          <w:rStyle w:val="IntenseEmphasis"/>
        </w:rPr>
        <w:t xml:space="preserve">The </w:t>
      </w:r>
      <w:r w:rsidR="00A92EC3" w:rsidRPr="000A0AE1">
        <w:rPr>
          <w:rStyle w:val="IntenseEmphasis"/>
        </w:rPr>
        <w:t>MEL Framework</w:t>
      </w:r>
      <w:r w:rsidR="000F0F3B" w:rsidRPr="000A0AE1">
        <w:rPr>
          <w:rStyle w:val="IntenseEmphasis"/>
        </w:rPr>
        <w:t xml:space="preserve"> </w:t>
      </w:r>
      <w:r w:rsidRPr="000A0AE1">
        <w:rPr>
          <w:rStyle w:val="IntenseEmphasis"/>
        </w:rPr>
        <w:t xml:space="preserve">(MELF) </w:t>
      </w:r>
      <w:r w:rsidR="00F53221" w:rsidRPr="005F3D62">
        <w:rPr>
          <w:rFonts w:eastAsia="Times New Roman"/>
          <w:color w:val="auto"/>
          <w:lang w:eastAsia="en-AU"/>
        </w:rPr>
        <w:t xml:space="preserve">is a table that outlines </w:t>
      </w:r>
      <w:r w:rsidR="009E10AC">
        <w:rPr>
          <w:rFonts w:eastAsia="Times New Roman"/>
          <w:color w:val="auto"/>
          <w:lang w:eastAsia="en-AU"/>
        </w:rPr>
        <w:t>how the program will measure progress towards the end of program outcomes</w:t>
      </w:r>
      <w:r w:rsidR="00BF3263">
        <w:rPr>
          <w:rFonts w:eastAsia="Times New Roman"/>
          <w:color w:val="auto"/>
          <w:lang w:eastAsia="en-AU"/>
        </w:rPr>
        <w:t xml:space="preserve"> </w:t>
      </w:r>
      <w:r w:rsidR="009E10AC">
        <w:rPr>
          <w:rFonts w:eastAsia="Times New Roman"/>
          <w:color w:val="auto"/>
          <w:lang w:eastAsia="en-AU"/>
        </w:rPr>
        <w:t>detailed in the program logic.</w:t>
      </w:r>
      <w:r w:rsidR="00F53221" w:rsidRPr="005F3D62">
        <w:rPr>
          <w:rFonts w:eastAsia="Times New Roman"/>
          <w:color w:val="auto"/>
          <w:lang w:eastAsia="en-AU"/>
        </w:rPr>
        <w:t xml:space="preserve"> </w:t>
      </w:r>
      <w:r w:rsidR="009E10AC">
        <w:rPr>
          <w:rFonts w:eastAsia="Times New Roman"/>
          <w:color w:val="auto"/>
          <w:lang w:eastAsia="en-AU"/>
        </w:rPr>
        <w:t xml:space="preserve">It will include indicators at each level: </w:t>
      </w:r>
      <w:r w:rsidR="00EB3B0F">
        <w:rPr>
          <w:rFonts w:eastAsia="Times New Roman"/>
          <w:color w:val="auto"/>
          <w:lang w:eastAsia="en-AU"/>
        </w:rPr>
        <w:t xml:space="preserve">outputs, intermediate </w:t>
      </w:r>
      <w:r w:rsidR="001F472C">
        <w:rPr>
          <w:rFonts w:eastAsia="Times New Roman"/>
          <w:color w:val="auto"/>
          <w:lang w:eastAsia="en-AU"/>
        </w:rPr>
        <w:t>outcomes,</w:t>
      </w:r>
      <w:r w:rsidR="00EB3B0F">
        <w:rPr>
          <w:rFonts w:eastAsia="Times New Roman"/>
          <w:color w:val="auto"/>
          <w:lang w:eastAsia="en-AU"/>
        </w:rPr>
        <w:t xml:space="preserve"> and end of program outcomes</w:t>
      </w:r>
      <w:r w:rsidR="00A2518E">
        <w:rPr>
          <w:rFonts w:eastAsia="Times New Roman"/>
          <w:color w:val="auto"/>
          <w:lang w:eastAsia="en-AU"/>
        </w:rPr>
        <w:t xml:space="preserve">. </w:t>
      </w:r>
      <w:r w:rsidR="0083737D">
        <w:rPr>
          <w:rFonts w:eastAsia="Times New Roman"/>
          <w:color w:val="auto"/>
          <w:lang w:eastAsia="en-AU"/>
        </w:rPr>
        <w:t xml:space="preserve">The MELF also </w:t>
      </w:r>
      <w:r w:rsidR="00F53221" w:rsidRPr="005F3D62">
        <w:rPr>
          <w:rFonts w:eastAsia="Times New Roman"/>
          <w:color w:val="auto"/>
          <w:lang w:eastAsia="en-AU"/>
        </w:rPr>
        <w:t xml:space="preserve">includes </w:t>
      </w:r>
      <w:r w:rsidR="0083737D">
        <w:rPr>
          <w:rFonts w:eastAsia="Times New Roman"/>
          <w:color w:val="auto"/>
          <w:lang w:eastAsia="en-AU"/>
        </w:rPr>
        <w:t>information on data collection,</w:t>
      </w:r>
      <w:r w:rsidR="00C90C1B">
        <w:rPr>
          <w:rFonts w:eastAsia="Times New Roman"/>
          <w:color w:val="auto"/>
          <w:lang w:eastAsia="en-AU"/>
        </w:rPr>
        <w:t xml:space="preserve"> </w:t>
      </w:r>
      <w:r w:rsidR="00F53221" w:rsidRPr="005F3D62">
        <w:rPr>
          <w:rFonts w:eastAsia="Times New Roman"/>
          <w:color w:val="auto"/>
          <w:lang w:eastAsia="en-AU"/>
        </w:rPr>
        <w:t>baselines (if available),</w:t>
      </w:r>
      <w:r w:rsidR="00BF3263">
        <w:rPr>
          <w:rFonts w:eastAsia="Times New Roman"/>
          <w:color w:val="auto"/>
          <w:lang w:eastAsia="en-AU"/>
        </w:rPr>
        <w:t xml:space="preserve"> </w:t>
      </w:r>
      <w:r w:rsidR="0083737D">
        <w:rPr>
          <w:rFonts w:eastAsia="Times New Roman"/>
          <w:color w:val="auto"/>
          <w:lang w:eastAsia="en-AU"/>
        </w:rPr>
        <w:t>and targets</w:t>
      </w:r>
      <w:r w:rsidR="00A2518E">
        <w:rPr>
          <w:rFonts w:eastAsia="Times New Roman"/>
          <w:color w:val="auto"/>
          <w:lang w:eastAsia="en-AU"/>
        </w:rPr>
        <w:t xml:space="preserve"> and evaluation questions</w:t>
      </w:r>
      <w:r w:rsidR="009C36EB">
        <w:rPr>
          <w:rFonts w:eastAsia="Times New Roman"/>
          <w:color w:val="auto"/>
          <w:lang w:eastAsia="en-AU"/>
        </w:rPr>
        <w:t xml:space="preserve"> (guide evaluation &amp; learning)</w:t>
      </w:r>
      <w:r w:rsidR="0083737D">
        <w:rPr>
          <w:rFonts w:eastAsia="Times New Roman"/>
          <w:color w:val="auto"/>
          <w:lang w:eastAsia="en-AU"/>
        </w:rPr>
        <w:t xml:space="preserve">. </w:t>
      </w:r>
      <w:r w:rsidR="00794986" w:rsidRPr="005F3D62">
        <w:rPr>
          <w:rFonts w:eastAsia="Times New Roman"/>
          <w:i/>
          <w:iCs/>
          <w:color w:val="auto"/>
          <w:lang w:eastAsia="en-AU"/>
        </w:rPr>
        <w:t>A</w:t>
      </w:r>
      <w:r w:rsidR="0083737D" w:rsidRPr="005F3D62">
        <w:rPr>
          <w:rFonts w:eastAsia="Times New Roman"/>
          <w:i/>
          <w:iCs/>
          <w:color w:val="auto"/>
          <w:lang w:eastAsia="en-AU"/>
        </w:rPr>
        <w:t xml:space="preserve"> draft MELF will be submitted with </w:t>
      </w:r>
      <w:r w:rsidR="000C2296">
        <w:rPr>
          <w:rFonts w:eastAsia="Times New Roman"/>
          <w:i/>
          <w:iCs/>
          <w:color w:val="auto"/>
          <w:lang w:eastAsia="en-AU"/>
        </w:rPr>
        <w:t>partner-led</w:t>
      </w:r>
      <w:r w:rsidR="0083737D" w:rsidRPr="005F3D62">
        <w:rPr>
          <w:rFonts w:eastAsia="Times New Roman"/>
          <w:i/>
          <w:iCs/>
          <w:color w:val="auto"/>
          <w:lang w:eastAsia="en-AU"/>
        </w:rPr>
        <w:t xml:space="preserve"> design</w:t>
      </w:r>
      <w:r w:rsidR="000C2296">
        <w:rPr>
          <w:rFonts w:eastAsia="Times New Roman"/>
          <w:i/>
          <w:iCs/>
          <w:color w:val="auto"/>
          <w:lang w:eastAsia="en-AU"/>
        </w:rPr>
        <w:t>s</w:t>
      </w:r>
      <w:r w:rsidR="006A7187">
        <w:rPr>
          <w:rFonts w:eastAsia="Times New Roman"/>
          <w:color w:val="auto"/>
          <w:lang w:eastAsia="en-AU"/>
        </w:rPr>
        <w:t xml:space="preserve"> – refer template in Annex 1. </w:t>
      </w:r>
    </w:p>
    <w:p w14:paraId="4371B98D" w14:textId="6B6D2226" w:rsidR="00A92EC3" w:rsidRPr="000A0AE1" w:rsidRDefault="000A0AE1" w:rsidP="000A0AE1">
      <w:pPr>
        <w:pStyle w:val="Listparagraphbullets"/>
        <w:rPr>
          <w:rStyle w:val="IntenseEmphasis"/>
        </w:rPr>
      </w:pPr>
      <w:r w:rsidRPr="000A0AE1">
        <w:rPr>
          <w:rStyle w:val="IntenseEmphasis"/>
        </w:rPr>
        <w:t xml:space="preserve">The </w:t>
      </w:r>
      <w:r w:rsidR="00A92EC3" w:rsidRPr="000A0AE1">
        <w:rPr>
          <w:rStyle w:val="IntenseEmphasis"/>
        </w:rPr>
        <w:t xml:space="preserve">MEL Plan </w:t>
      </w:r>
      <w:r w:rsidR="00F53221" w:rsidRPr="005F3D62">
        <w:rPr>
          <w:rFonts w:eastAsia="Times New Roman"/>
          <w:color w:val="auto"/>
          <w:lang w:eastAsia="en-AU"/>
        </w:rPr>
        <w:t>describes the MEL System that will be put in place to track, assess, and improve program performance over its lifetime.</w:t>
      </w:r>
      <w:r w:rsidR="00A47033">
        <w:rPr>
          <w:rFonts w:eastAsia="Times New Roman"/>
          <w:color w:val="auto"/>
          <w:lang w:eastAsia="en-AU"/>
        </w:rPr>
        <w:t xml:space="preserve"> The MEL Plan is not required at design</w:t>
      </w:r>
      <w:r w:rsidR="00E650D3">
        <w:rPr>
          <w:rFonts w:eastAsia="Times New Roman"/>
          <w:color w:val="auto"/>
          <w:lang w:eastAsia="en-AU"/>
        </w:rPr>
        <w:t>. It is a contract milestone due within the first 6 months of programming.</w:t>
      </w:r>
      <w:r w:rsidR="00F53221" w:rsidRPr="005F3D62">
        <w:rPr>
          <w:rFonts w:eastAsia="Times New Roman"/>
          <w:color w:val="auto"/>
          <w:lang w:eastAsia="en-AU"/>
        </w:rPr>
        <w:t> </w:t>
      </w:r>
      <w:r w:rsidR="00E650D3">
        <w:rPr>
          <w:rFonts w:eastAsia="Times New Roman"/>
          <w:color w:val="auto"/>
          <w:lang w:eastAsia="en-AU"/>
        </w:rPr>
        <w:t>The MEL Plan</w:t>
      </w:r>
      <w:r w:rsidR="00F53221" w:rsidRPr="005F3D62">
        <w:rPr>
          <w:rFonts w:eastAsia="Times New Roman"/>
          <w:color w:val="auto"/>
          <w:lang w:eastAsia="en-AU"/>
        </w:rPr>
        <w:t xml:space="preserve"> includes </w:t>
      </w:r>
      <w:r w:rsidR="00CD2CAC">
        <w:rPr>
          <w:rFonts w:eastAsia="Times New Roman"/>
          <w:color w:val="auto"/>
          <w:lang w:eastAsia="en-AU"/>
        </w:rPr>
        <w:t>a</w:t>
      </w:r>
      <w:r w:rsidR="008D09B3">
        <w:rPr>
          <w:rFonts w:eastAsia="Times New Roman"/>
          <w:color w:val="auto"/>
          <w:lang w:eastAsia="en-AU"/>
        </w:rPr>
        <w:t xml:space="preserve"> </w:t>
      </w:r>
      <w:r w:rsidR="00CD2CAC">
        <w:rPr>
          <w:rFonts w:eastAsia="Times New Roman"/>
          <w:color w:val="auto"/>
          <w:lang w:eastAsia="en-AU"/>
        </w:rPr>
        <w:t xml:space="preserve">MELF, information on data collection and analysis, learning and adaptation, </w:t>
      </w:r>
      <w:r w:rsidR="00F53221" w:rsidRPr="005F3D62">
        <w:rPr>
          <w:rFonts w:eastAsia="Times New Roman"/>
          <w:color w:val="auto"/>
          <w:lang w:eastAsia="en-AU"/>
        </w:rPr>
        <w:t xml:space="preserve">evaluation </w:t>
      </w:r>
      <w:r w:rsidR="00CD2CAC">
        <w:rPr>
          <w:rFonts w:eastAsia="Times New Roman"/>
          <w:color w:val="auto"/>
          <w:lang w:eastAsia="en-AU"/>
        </w:rPr>
        <w:t xml:space="preserve">plans and </w:t>
      </w:r>
      <w:r w:rsidR="00F53221" w:rsidRPr="005F3D62">
        <w:rPr>
          <w:rFonts w:eastAsia="Times New Roman"/>
          <w:color w:val="auto"/>
          <w:lang w:eastAsia="en-AU"/>
        </w:rPr>
        <w:t>questions,</w:t>
      </w:r>
      <w:r w:rsidR="00365E71">
        <w:rPr>
          <w:rFonts w:eastAsia="Times New Roman"/>
          <w:color w:val="auto"/>
          <w:lang w:eastAsia="en-AU"/>
        </w:rPr>
        <w:t xml:space="preserve"> and resourcing. </w:t>
      </w:r>
      <w:r w:rsidR="00F53221" w:rsidRPr="005F3D62">
        <w:rPr>
          <w:rFonts w:eastAsia="Times New Roman"/>
          <w:i/>
          <w:iCs/>
          <w:color w:val="auto"/>
          <w:lang w:eastAsia="en-AU"/>
        </w:rPr>
        <w:t xml:space="preserve"> Standard 5 outlines what should be included in an ME</w:t>
      </w:r>
      <w:r w:rsidR="009C36EB">
        <w:rPr>
          <w:rFonts w:eastAsia="Times New Roman"/>
          <w:i/>
          <w:iCs/>
          <w:color w:val="auto"/>
          <w:lang w:eastAsia="en-AU"/>
        </w:rPr>
        <w:t>L</w:t>
      </w:r>
      <w:r w:rsidR="00F53221" w:rsidRPr="005F3D62">
        <w:rPr>
          <w:rFonts w:eastAsia="Times New Roman"/>
          <w:i/>
          <w:iCs/>
          <w:color w:val="auto"/>
          <w:lang w:eastAsia="en-AU"/>
        </w:rPr>
        <w:t xml:space="preserve"> Plan</w:t>
      </w:r>
      <w:r w:rsidR="00E650D3">
        <w:rPr>
          <w:rFonts w:eastAsia="Times New Roman"/>
          <w:i/>
          <w:iCs/>
          <w:color w:val="auto"/>
          <w:lang w:eastAsia="en-AU"/>
        </w:rPr>
        <w:t xml:space="preserve"> – Annex 3 provides a template that reflects Standard 5.</w:t>
      </w:r>
    </w:p>
    <w:p w14:paraId="36CEE47C" w14:textId="646FC2C8" w:rsidR="00EF1DF7" w:rsidRPr="00EC7E7E" w:rsidRDefault="00546315" w:rsidP="00A909F2">
      <w:pPr>
        <w:pStyle w:val="Heading2"/>
      </w:pPr>
      <w:r w:rsidRPr="00EC7E7E">
        <w:t>Overview</w:t>
      </w:r>
    </w:p>
    <w:p w14:paraId="470AFE44" w14:textId="1523BB26" w:rsidR="003B64D4" w:rsidRDefault="5E879582" w:rsidP="00A96E51">
      <w:pPr>
        <w:spacing w:after="200" w:line="259" w:lineRule="auto"/>
      </w:pPr>
      <w:r w:rsidRPr="393B3656">
        <w:rPr>
          <w:rFonts w:cstheme="minorBidi"/>
        </w:rPr>
        <w:t>P</w:t>
      </w:r>
      <w:r>
        <w:t>artners who implemen</w:t>
      </w:r>
      <w:r w:rsidR="1D7EF3D9">
        <w:t xml:space="preserve">t </w:t>
      </w:r>
      <w:r w:rsidR="5F769892">
        <w:t xml:space="preserve">activities </w:t>
      </w:r>
      <w:r w:rsidR="6E91D708">
        <w:t xml:space="preserve">funded under DFAT’s </w:t>
      </w:r>
      <w:r w:rsidR="42BB3746">
        <w:t>Partnerships for a Healthy Region</w:t>
      </w:r>
      <w:r w:rsidR="05DBA6C6">
        <w:t xml:space="preserve"> (PHR)</w:t>
      </w:r>
      <w:r w:rsidR="42BB3746">
        <w:t xml:space="preserve"> initiative</w:t>
      </w:r>
      <w:r>
        <w:t xml:space="preserve"> have a critical role in the monitoring, </w:t>
      </w:r>
      <w:r w:rsidR="33532A88">
        <w:t>evaluation,</w:t>
      </w:r>
      <w:r>
        <w:t xml:space="preserve"> and learning</w:t>
      </w:r>
      <w:r w:rsidR="48092BFF">
        <w:t xml:space="preserve"> (MEL)</w:t>
      </w:r>
      <w:r>
        <w:t xml:space="preserve"> processes that </w:t>
      </w:r>
      <w:r w:rsidR="33532A88">
        <w:t xml:space="preserve">underpin </w:t>
      </w:r>
      <w:r w:rsidR="445BD6E2">
        <w:t xml:space="preserve">its </w:t>
      </w:r>
      <w:r w:rsidR="33532A88">
        <w:t>performa</w:t>
      </w:r>
      <w:r w:rsidR="36E4AA0C">
        <w:t>nce</w:t>
      </w:r>
      <w:r>
        <w:t xml:space="preserve">. </w:t>
      </w:r>
      <w:r w:rsidR="412E432E">
        <w:t xml:space="preserve">The </w:t>
      </w:r>
      <w:r w:rsidR="5F769892">
        <w:t>i</w:t>
      </w:r>
      <w:r w:rsidR="6E91D708">
        <w:t xml:space="preserve">nitiative’s </w:t>
      </w:r>
      <w:r w:rsidR="1D7EF3D9">
        <w:t>performance management system</w:t>
      </w:r>
      <w:r w:rsidR="72325B8F">
        <w:t xml:space="preserve"> </w:t>
      </w:r>
      <w:r w:rsidR="1D7EF3D9">
        <w:t>aims to demonstrate achievements, measure progress towards its outcomes, inform continuous learning and improvement, and support accountability and transparency.</w:t>
      </w:r>
      <w:r w:rsidR="1D7EF3D9" w:rsidRPr="393B3656">
        <w:rPr>
          <w:rFonts w:cstheme="minorBidi"/>
        </w:rPr>
        <w:t xml:space="preserve"> </w:t>
      </w:r>
      <w:r w:rsidR="75AAFD9D">
        <w:t>Th</w:t>
      </w:r>
      <w:r w:rsidR="4E4ED31A">
        <w:t>is</w:t>
      </w:r>
      <w:r w:rsidR="75AAFD9D">
        <w:t xml:space="preserve"> </w:t>
      </w:r>
      <w:r w:rsidR="00700746">
        <w:t xml:space="preserve">PHR MEL </w:t>
      </w:r>
      <w:r w:rsidR="75AAFD9D">
        <w:t>system is</w:t>
      </w:r>
      <w:r>
        <w:t xml:space="preserve"> based on </w:t>
      </w:r>
      <w:r w:rsidR="6898279F">
        <w:t>a</w:t>
      </w:r>
      <w:r w:rsidR="00A92AB0">
        <w:t xml:space="preserve"> </w:t>
      </w:r>
      <w:r w:rsidR="00700746">
        <w:t xml:space="preserve">PHR </w:t>
      </w:r>
      <w:hyperlink r:id="rId11">
        <w:r w:rsidR="00A92AB0" w:rsidRPr="15BE7817">
          <w:rPr>
            <w:rStyle w:val="Hyperlink"/>
            <w:color w:val="0A737B" w:themeColor="accent5" w:themeTint="E6"/>
          </w:rPr>
          <w:t>Program Logic</w:t>
        </w:r>
      </w:hyperlink>
      <w:r w:rsidR="6898279F">
        <w:t xml:space="preserve"> </w:t>
      </w:r>
      <w:r w:rsidR="0DA6EDE1">
        <w:t xml:space="preserve">and a </w:t>
      </w:r>
      <w:r w:rsidR="4ECBF07B">
        <w:t>set of common indicators</w:t>
      </w:r>
      <w:r w:rsidR="0DA6EDE1">
        <w:t xml:space="preserve"> </w:t>
      </w:r>
      <w:r w:rsidR="5F769892">
        <w:t xml:space="preserve">for the </w:t>
      </w:r>
      <w:r w:rsidR="0DA510F9">
        <w:t>PHR</w:t>
      </w:r>
      <w:r w:rsidR="6898279F">
        <w:t xml:space="preserve"> initiative</w:t>
      </w:r>
      <w:r>
        <w:t>, and tools that provide evidence to report against the</w:t>
      </w:r>
      <w:r w:rsidR="7D781192">
        <w:t xml:space="preserve">se. </w:t>
      </w:r>
      <w:r w:rsidR="2EB7251C">
        <w:t>Partner r</w:t>
      </w:r>
      <w:r>
        <w:t>eporting</w:t>
      </w:r>
      <w:r w:rsidR="0790EFDA">
        <w:t xml:space="preserve">, </w:t>
      </w:r>
      <w:r>
        <w:t xml:space="preserve">guided </w:t>
      </w:r>
      <w:r w:rsidR="0790EFDA">
        <w:t>by</w:t>
      </w:r>
      <w:r w:rsidR="48092BFF">
        <w:t xml:space="preserve"> </w:t>
      </w:r>
      <w:r w:rsidR="7813B857">
        <w:t xml:space="preserve">their </w:t>
      </w:r>
      <w:r w:rsidR="0790EFDA">
        <w:t xml:space="preserve">MEL </w:t>
      </w:r>
      <w:r>
        <w:t xml:space="preserve">plan, is one of these tools. </w:t>
      </w:r>
    </w:p>
    <w:p w14:paraId="0C6C4363" w14:textId="3C7E0098" w:rsidR="0043618C" w:rsidRPr="00236282" w:rsidRDefault="02112734" w:rsidP="3141B229">
      <w:pPr>
        <w:spacing w:after="200" w:line="259" w:lineRule="auto"/>
      </w:pPr>
      <w:r>
        <w:t>Th</w:t>
      </w:r>
      <w:r w:rsidR="18A61CF7">
        <w:t>e</w:t>
      </w:r>
      <w:r>
        <w:t xml:space="preserve"> following guidance </w:t>
      </w:r>
      <w:r w:rsidRPr="39945DB7">
        <w:rPr>
          <w:rFonts w:cstheme="minorBidi"/>
        </w:rPr>
        <w:t xml:space="preserve">sets out DFAT’s requirements for MEL </w:t>
      </w:r>
      <w:r w:rsidR="267771BD" w:rsidRPr="39945DB7">
        <w:rPr>
          <w:rFonts w:cstheme="minorBidi"/>
        </w:rPr>
        <w:t>in</w:t>
      </w:r>
      <w:r w:rsidR="01892317" w:rsidRPr="39945DB7">
        <w:rPr>
          <w:rFonts w:cstheme="minorBidi"/>
        </w:rPr>
        <w:t xml:space="preserve"> the design document</w:t>
      </w:r>
      <w:r w:rsidR="005F3D62">
        <w:rPr>
          <w:rFonts w:cstheme="minorBidi"/>
        </w:rPr>
        <w:t>.</w:t>
      </w:r>
      <w:r w:rsidRPr="39945DB7">
        <w:rPr>
          <w:rFonts w:cstheme="minorBidi"/>
        </w:rPr>
        <w:t xml:space="preserve"> </w:t>
      </w:r>
      <w:r w:rsidR="001351B7">
        <w:rPr>
          <w:rFonts w:cstheme="minorBidi"/>
        </w:rPr>
        <w:t>It also explains</w:t>
      </w:r>
      <w:r w:rsidR="00C90C1B">
        <w:rPr>
          <w:rFonts w:cstheme="minorBidi"/>
        </w:rPr>
        <w:t xml:space="preserve"> </w:t>
      </w:r>
      <w:r w:rsidR="001351B7">
        <w:rPr>
          <w:rFonts w:cstheme="minorBidi"/>
        </w:rPr>
        <w:t xml:space="preserve">requirements to develop and submit a MEL Plan within the first six months of contracting. This guidance aligns with </w:t>
      </w:r>
      <w:r>
        <w:t>the</w:t>
      </w:r>
      <w:r w:rsidR="003C4965">
        <w:t xml:space="preserve"> </w:t>
      </w:r>
      <w:hyperlink r:id="rId12" w:history="1">
        <w:r w:rsidR="003C4965" w:rsidRPr="003C4965">
          <w:rPr>
            <w:rStyle w:val="Hyperlink"/>
            <w:color w:val="0A737B" w:themeColor="accent5" w:themeTint="E6"/>
          </w:rPr>
          <w:t>DFAT-design-monitoring evaluation learning standards</w:t>
        </w:r>
      </w:hyperlink>
      <w:r w:rsidR="003C4965">
        <w:t xml:space="preserve"> </w:t>
      </w:r>
      <w:r w:rsidR="2DB1B3FB">
        <w:t xml:space="preserve">(the </w:t>
      </w:r>
      <w:r w:rsidR="495DAD0E">
        <w:t>Standards),</w:t>
      </w:r>
      <w:r>
        <w:t xml:space="preserve"> which were updated i</w:t>
      </w:r>
      <w:r w:rsidR="5B60420D">
        <w:t>n</w:t>
      </w:r>
      <w:r>
        <w:t xml:space="preserve"> </w:t>
      </w:r>
      <w:r w:rsidR="0E12E2CD">
        <w:t>September</w:t>
      </w:r>
      <w:r>
        <w:t xml:space="preserve"> 202</w:t>
      </w:r>
      <w:r w:rsidR="2D377A16">
        <w:t>3</w:t>
      </w:r>
      <w:r>
        <w:t xml:space="preserve">. </w:t>
      </w:r>
      <w:r w:rsidR="406DDF50">
        <w:t>Applicants should refer to the</w:t>
      </w:r>
      <w:r w:rsidR="6A5326EA">
        <w:t xml:space="preserve"> </w:t>
      </w:r>
      <w:r w:rsidR="406DDF50">
        <w:t xml:space="preserve">Standards to inform their </w:t>
      </w:r>
      <w:r w:rsidR="01892317">
        <w:t>design</w:t>
      </w:r>
      <w:r w:rsidR="406DDF50">
        <w:t xml:space="preserve">. </w:t>
      </w:r>
      <w:r w:rsidR="30F0C6C5">
        <w:t xml:space="preserve">For brevity, they are not repeated here. </w:t>
      </w:r>
      <w:r w:rsidR="000C64D6">
        <w:t>Standard 3 Program Logic/Theory of change and Standard 5 Standards are particularly relevant to applicants preparing a design.</w:t>
      </w:r>
    </w:p>
    <w:p w14:paraId="1576B219" w14:textId="2DF71FCA" w:rsidR="00CC238E" w:rsidRPr="00781AFF" w:rsidRDefault="00CC238E" w:rsidP="00A92EC3">
      <w:pPr>
        <w:pStyle w:val="Listparagraphbullets"/>
        <w:rPr>
          <w:rStyle w:val="IntenseEmphasis"/>
          <w:bCs/>
          <w:sz w:val="32"/>
          <w:szCs w:val="32"/>
        </w:rPr>
      </w:pPr>
      <w:r w:rsidRPr="00781AFF">
        <w:rPr>
          <w:rStyle w:val="Heading2Char"/>
          <w:sz w:val="32"/>
          <w:szCs w:val="32"/>
        </w:rPr>
        <w:t>Key messages</w:t>
      </w:r>
      <w:r w:rsidRPr="00781AFF">
        <w:rPr>
          <w:rStyle w:val="IntenseEmphasis"/>
          <w:sz w:val="32"/>
          <w:szCs w:val="32"/>
        </w:rPr>
        <w:t xml:space="preserve"> </w:t>
      </w:r>
    </w:p>
    <w:p w14:paraId="7FAB11A2" w14:textId="35D3B3E6" w:rsidR="001C0422" w:rsidRPr="00B847C7" w:rsidRDefault="001A7F94" w:rsidP="00A92EC3">
      <w:pPr>
        <w:pStyle w:val="Listparagraphbullets"/>
      </w:pPr>
      <w:r w:rsidRPr="00B847C7">
        <w:rPr>
          <w:rStyle w:val="IntenseEmphasis"/>
        </w:rPr>
        <w:t>MEL r</w:t>
      </w:r>
      <w:r w:rsidR="001C0422" w:rsidRPr="00B847C7">
        <w:rPr>
          <w:rStyle w:val="IntenseEmphasis"/>
        </w:rPr>
        <w:t>equirements</w:t>
      </w:r>
    </w:p>
    <w:p w14:paraId="60D0625E" w14:textId="51EB3A16" w:rsidR="001C0422" w:rsidRPr="00B847C7" w:rsidRDefault="6F7E2FFF" w:rsidP="00A92EC3">
      <w:pPr>
        <w:pStyle w:val="Listparagraphbullets"/>
        <w:rPr>
          <w:rStyle w:val="IntenseEmphasis"/>
        </w:rPr>
      </w:pPr>
      <w:r>
        <w:t xml:space="preserve">Designs </w:t>
      </w:r>
      <w:r w:rsidR="3E11BE11">
        <w:t>must include a</w:t>
      </w:r>
      <w:r w:rsidR="5F3F1712">
        <w:t xml:space="preserve"> program logic</w:t>
      </w:r>
      <w:r w:rsidR="518A3057">
        <w:t>, a</w:t>
      </w:r>
      <w:r w:rsidR="15A7BE77">
        <w:t xml:space="preserve"> draft</w:t>
      </w:r>
      <w:r w:rsidR="74B1EC1A">
        <w:t xml:space="preserve"> Monitoring</w:t>
      </w:r>
      <w:r w:rsidR="2233F6BF">
        <w:t>,</w:t>
      </w:r>
      <w:r w:rsidR="7F9C8825">
        <w:t xml:space="preserve"> </w:t>
      </w:r>
      <w:r w:rsidR="74B1EC1A">
        <w:t xml:space="preserve">Evaluation </w:t>
      </w:r>
      <w:r w:rsidR="18D4D0C1">
        <w:t xml:space="preserve">and Learning </w:t>
      </w:r>
      <w:r w:rsidR="74B1EC1A">
        <w:t>Framework (</w:t>
      </w:r>
      <w:r w:rsidR="518A3057">
        <w:t>ME</w:t>
      </w:r>
      <w:r w:rsidR="141AFF84">
        <w:t>L</w:t>
      </w:r>
      <w:r w:rsidR="518A3057">
        <w:t>F</w:t>
      </w:r>
      <w:r w:rsidR="74B1EC1A">
        <w:t>)</w:t>
      </w:r>
      <w:r w:rsidR="7145B35B">
        <w:t xml:space="preserve"> and a description of</w:t>
      </w:r>
      <w:r w:rsidR="46D78E18">
        <w:t xml:space="preserve"> </w:t>
      </w:r>
      <w:r w:rsidR="15A7BE77">
        <w:t>the</w:t>
      </w:r>
      <w:r w:rsidR="2FFB2917">
        <w:t xml:space="preserve"> MEL</w:t>
      </w:r>
      <w:r w:rsidR="46D78E18">
        <w:t xml:space="preserve"> </w:t>
      </w:r>
      <w:r w:rsidR="28387DE4">
        <w:t>system</w:t>
      </w:r>
      <w:r w:rsidR="5F3F1712">
        <w:t xml:space="preserve">. </w:t>
      </w:r>
      <w:r w:rsidR="4F1FF7FC">
        <w:t xml:space="preserve">These will be assessed as part of the design assessment process. </w:t>
      </w:r>
      <w:r w:rsidR="5F3F1712">
        <w:t>During</w:t>
      </w:r>
      <w:r w:rsidR="00C46B1F">
        <w:t xml:space="preserve"> </w:t>
      </w:r>
      <w:r w:rsidR="5F3F1712">
        <w:t xml:space="preserve">the </w:t>
      </w:r>
      <w:r w:rsidR="687A5F29">
        <w:t xml:space="preserve">initial mobilisation </w:t>
      </w:r>
      <w:r w:rsidR="5F3F1712">
        <w:t xml:space="preserve">phase partners will submit a MEL plan </w:t>
      </w:r>
      <w:r w:rsidR="6DF6C262">
        <w:t xml:space="preserve">that </w:t>
      </w:r>
      <w:r w:rsidR="5F3F1712">
        <w:t>includ</w:t>
      </w:r>
      <w:r w:rsidR="6DF6C262">
        <w:t>es</w:t>
      </w:r>
      <w:r w:rsidR="5F3F1712">
        <w:t xml:space="preserve"> the final program logic and </w:t>
      </w:r>
      <w:r w:rsidR="3877D152">
        <w:t>MEL</w:t>
      </w:r>
      <w:r w:rsidR="1F9C06E8">
        <w:t xml:space="preserve"> framework</w:t>
      </w:r>
      <w:r w:rsidR="000F0F3B">
        <w:t xml:space="preserve"> (generally within 6 month of contract date)</w:t>
      </w:r>
      <w:r w:rsidR="5F3F1712">
        <w:t xml:space="preserve">. </w:t>
      </w:r>
    </w:p>
    <w:p w14:paraId="7787A524" w14:textId="55D6822C" w:rsidR="00CC238E" w:rsidRPr="00B847C7" w:rsidRDefault="007C14D5" w:rsidP="00A92EC3">
      <w:pPr>
        <w:pStyle w:val="Listparagraphbullets"/>
        <w:rPr>
          <w:rStyle w:val="IntenseEmphasis"/>
        </w:rPr>
      </w:pPr>
      <w:r w:rsidRPr="00B847C7">
        <w:rPr>
          <w:rStyle w:val="IntenseEmphasis"/>
        </w:rPr>
        <w:t>Meeting DFAT’s standards</w:t>
      </w:r>
    </w:p>
    <w:p w14:paraId="028FF1F6" w14:textId="1FBA6158" w:rsidR="00CC238E" w:rsidRPr="00B847C7" w:rsidRDefault="007C14D5" w:rsidP="00A92EC3">
      <w:pPr>
        <w:pStyle w:val="Listparagraphbullets"/>
      </w:pPr>
      <w:r>
        <w:t xml:space="preserve">The Standards form the basis for </w:t>
      </w:r>
      <w:r w:rsidR="00DA083C">
        <w:t>DFAT’s</w:t>
      </w:r>
      <w:r>
        <w:t xml:space="preserve"> assessment of program logics, MEL plans, and reporting. </w:t>
      </w:r>
      <w:r w:rsidR="00AB2EA8">
        <w:t xml:space="preserve">Applicants </w:t>
      </w:r>
      <w:r>
        <w:t xml:space="preserve">should refer to these when preparing their </w:t>
      </w:r>
      <w:r w:rsidR="004129CB">
        <w:t>design</w:t>
      </w:r>
      <w:r>
        <w:t>s, in particular Standard 3: Program Logic/Theory of Change, and Standard 5: Monitoring</w:t>
      </w:r>
      <w:r w:rsidR="2B704F6F">
        <w:t>, Evaluation</w:t>
      </w:r>
      <w:r>
        <w:t xml:space="preserve"> and </w:t>
      </w:r>
      <w:r w:rsidR="1B242062">
        <w:t xml:space="preserve">Learning </w:t>
      </w:r>
      <w:r>
        <w:t xml:space="preserve">Plan and System. </w:t>
      </w:r>
    </w:p>
    <w:p w14:paraId="6997DB7E" w14:textId="77777777" w:rsidR="008867FE" w:rsidRDefault="008867FE" w:rsidP="00A92EC3">
      <w:pPr>
        <w:pStyle w:val="Listparagraphbullets"/>
        <w:rPr>
          <w:rStyle w:val="IntenseEmphasis"/>
        </w:rPr>
      </w:pPr>
    </w:p>
    <w:p w14:paraId="76B210A4" w14:textId="35C5353B" w:rsidR="00FD51A7" w:rsidRPr="00B847C7" w:rsidRDefault="00F33374" w:rsidP="00A92EC3">
      <w:pPr>
        <w:pStyle w:val="Listparagraphbullets"/>
        <w:rPr>
          <w:rStyle w:val="IntenseEmphasis"/>
        </w:rPr>
      </w:pPr>
      <w:r w:rsidRPr="00B847C7">
        <w:rPr>
          <w:rStyle w:val="IntenseEmphasis"/>
        </w:rPr>
        <w:lastRenderedPageBreak/>
        <w:t xml:space="preserve">Aligning with the </w:t>
      </w:r>
      <w:r w:rsidR="003C49B0" w:rsidRPr="00B847C7">
        <w:rPr>
          <w:rStyle w:val="IntenseEmphasis"/>
        </w:rPr>
        <w:t>outcomes of the Partnerships for a Healthy Region initiative</w:t>
      </w:r>
    </w:p>
    <w:p w14:paraId="32401890" w14:textId="2D465D3E" w:rsidR="00145E48" w:rsidRPr="00B847C7" w:rsidRDefault="3176C660" w:rsidP="00A92EC3">
      <w:pPr>
        <w:pStyle w:val="Listparagraphbullets"/>
      </w:pPr>
      <w:r>
        <w:t xml:space="preserve">Activities funded through </w:t>
      </w:r>
      <w:r w:rsidR="4A5983C5">
        <w:t xml:space="preserve">the </w:t>
      </w:r>
      <w:r w:rsidR="0AC2C208">
        <w:t>PHR</w:t>
      </w:r>
      <w:r w:rsidR="4A5983C5">
        <w:t xml:space="preserve"> </w:t>
      </w:r>
      <w:r w:rsidR="79447944">
        <w:t xml:space="preserve">initiative </w:t>
      </w:r>
      <w:r>
        <w:t xml:space="preserve">need to contribute </w:t>
      </w:r>
      <w:r w:rsidR="011595FE">
        <w:t xml:space="preserve">directly and </w:t>
      </w:r>
      <w:r w:rsidR="423517B6">
        <w:t xml:space="preserve">clearly </w:t>
      </w:r>
      <w:r>
        <w:t>to its</w:t>
      </w:r>
      <w:r w:rsidR="080B9A97">
        <w:t xml:space="preserve"> outcomes. </w:t>
      </w:r>
      <w:r w:rsidR="3F7C1F5C">
        <w:t xml:space="preserve">PHR </w:t>
      </w:r>
      <w:r w:rsidR="080B9A97">
        <w:t xml:space="preserve">End of Program Outcomes (EOPOs) and Intermediate Outcomes (IOs) are </w:t>
      </w:r>
      <w:r w:rsidR="68CEA987">
        <w:t>provided</w:t>
      </w:r>
      <w:r w:rsidR="080B9A97">
        <w:t xml:space="preserve"> in the </w:t>
      </w:r>
      <w:r w:rsidR="43D6C861">
        <w:t xml:space="preserve">PHR </w:t>
      </w:r>
      <w:r w:rsidR="080B9A97">
        <w:t>Program Logic.</w:t>
      </w:r>
      <w:r w:rsidR="05BFBFDD">
        <w:t xml:space="preserve"> </w:t>
      </w:r>
      <w:r w:rsidR="285DD927">
        <w:t>W</w:t>
      </w:r>
      <w:r w:rsidR="05BFBFDD">
        <w:t xml:space="preserve">hen developing their </w:t>
      </w:r>
      <w:r w:rsidR="285DD927">
        <w:t xml:space="preserve">designs, partners should </w:t>
      </w:r>
      <w:r w:rsidR="05BFBFDD">
        <w:t>clearly articulate how their activity</w:t>
      </w:r>
      <w:r w:rsidR="609CB3F2">
        <w:t xml:space="preserve"> and its specific outcomes</w:t>
      </w:r>
      <w:r w:rsidR="05BFBFDD">
        <w:t xml:space="preserve"> link</w:t>
      </w:r>
      <w:r w:rsidR="47572C4E">
        <w:t xml:space="preserve"> to</w:t>
      </w:r>
      <w:r w:rsidR="05BFBFDD">
        <w:t xml:space="preserve"> and contribute towards</w:t>
      </w:r>
      <w:r w:rsidR="50A15DD8">
        <w:t xml:space="preserve"> </w:t>
      </w:r>
      <w:r w:rsidR="642B7FB1">
        <w:t>relevant IOs and EOPO(s)</w:t>
      </w:r>
      <w:r w:rsidR="3A8E5ECF">
        <w:t xml:space="preserve">, and where relevant, PHR’s cross-cutting themes. </w:t>
      </w:r>
      <w:r w:rsidR="12DB6F66">
        <w:t>W</w:t>
      </w:r>
      <w:r w:rsidR="0BADB75F">
        <w:t>here an activity contributes to cross cutting</w:t>
      </w:r>
      <w:r w:rsidR="073F80A6">
        <w:t xml:space="preserve"> </w:t>
      </w:r>
      <w:r w:rsidR="30947995">
        <w:t>prioritie</w:t>
      </w:r>
      <w:r w:rsidR="073F80A6">
        <w:t>s</w:t>
      </w:r>
      <w:r w:rsidR="0BADB75F">
        <w:t xml:space="preserve"> </w:t>
      </w:r>
      <w:r w:rsidR="085FAE74">
        <w:t xml:space="preserve">partners should also monitor the outcomes of this approach. </w:t>
      </w:r>
    </w:p>
    <w:p w14:paraId="3414467F" w14:textId="0397CC62" w:rsidR="00C23C52" w:rsidRDefault="26EC1053" w:rsidP="0017180A">
      <w:pPr>
        <w:pStyle w:val="Listparagraphbullets"/>
        <w:rPr>
          <w:rStyle w:val="IntenseEmphasis"/>
        </w:rPr>
      </w:pPr>
      <w:r w:rsidRPr="48035F03">
        <w:rPr>
          <w:rStyle w:val="IntenseEmphasis"/>
        </w:rPr>
        <w:t>Embed</w:t>
      </w:r>
      <w:r w:rsidR="2CC6BD7E" w:rsidRPr="48035F03">
        <w:rPr>
          <w:rStyle w:val="IntenseEmphasis"/>
        </w:rPr>
        <w:t>ding</w:t>
      </w:r>
      <w:r w:rsidRPr="48035F03">
        <w:rPr>
          <w:rStyle w:val="IntenseEmphasis"/>
        </w:rPr>
        <w:t xml:space="preserve"> </w:t>
      </w:r>
      <w:r w:rsidR="00FF4CFF">
        <w:rPr>
          <w:rStyle w:val="IntenseEmphasis"/>
        </w:rPr>
        <w:t xml:space="preserve">cross-cutting priorities </w:t>
      </w:r>
      <w:r w:rsidRPr="48035F03">
        <w:rPr>
          <w:rStyle w:val="IntenseEmphasis"/>
        </w:rPr>
        <w:t>in</w:t>
      </w:r>
      <w:r w:rsidR="00944515">
        <w:rPr>
          <w:rStyle w:val="IntenseEmphasis"/>
        </w:rPr>
        <w:t>to</w:t>
      </w:r>
      <w:r w:rsidRPr="48035F03">
        <w:rPr>
          <w:rStyle w:val="IntenseEmphasis"/>
        </w:rPr>
        <w:t xml:space="preserve"> monitoring, </w:t>
      </w:r>
      <w:r w:rsidR="190D52B0" w:rsidRPr="48035F03">
        <w:rPr>
          <w:rStyle w:val="IntenseEmphasis"/>
        </w:rPr>
        <w:t>evaluation,</w:t>
      </w:r>
      <w:r w:rsidRPr="48035F03">
        <w:rPr>
          <w:rStyle w:val="IntenseEmphasis"/>
        </w:rPr>
        <w:t xml:space="preserve"> and reporting</w:t>
      </w:r>
      <w:r w:rsidR="00944515">
        <w:rPr>
          <w:rStyle w:val="IntenseEmphasis"/>
        </w:rPr>
        <w:t>.</w:t>
      </w:r>
      <w:r w:rsidR="008B0F25">
        <w:rPr>
          <w:rStyle w:val="IntenseEmphasis"/>
        </w:rPr>
        <w:t xml:space="preserve"> </w:t>
      </w:r>
    </w:p>
    <w:p w14:paraId="3BCF73EA" w14:textId="71886D77" w:rsidR="00241EA6" w:rsidRDefault="45035187" w:rsidP="0017180A">
      <w:pPr>
        <w:pStyle w:val="Listparagraphbullets"/>
      </w:pPr>
      <w:r>
        <w:t xml:space="preserve">All </w:t>
      </w:r>
      <w:r w:rsidR="0017180A">
        <w:t>partners</w:t>
      </w:r>
      <w:r w:rsidR="0017180A" w:rsidRPr="005F3D62">
        <w:t xml:space="preserve"> should </w:t>
      </w:r>
      <w:r w:rsidR="1F616AFD">
        <w:t xml:space="preserve">measure how </w:t>
      </w:r>
      <w:r w:rsidR="00944515">
        <w:t xml:space="preserve">their </w:t>
      </w:r>
      <w:r>
        <w:t>activities</w:t>
      </w:r>
      <w:r w:rsidR="1F616AFD">
        <w:t xml:space="preserve"> promote gender equality, </w:t>
      </w:r>
      <w:r w:rsidR="0DA60BB4">
        <w:t>women</w:t>
      </w:r>
      <w:r w:rsidR="00944515">
        <w:t>’s</w:t>
      </w:r>
      <w:r w:rsidR="008B0F25">
        <w:t xml:space="preserve"> </w:t>
      </w:r>
      <w:r w:rsidR="1F616AFD">
        <w:t>empowerment</w:t>
      </w:r>
      <w:r w:rsidR="0DA60BB4">
        <w:t>;</w:t>
      </w:r>
      <w:r w:rsidR="1F616AFD">
        <w:t xml:space="preserve"> </w:t>
      </w:r>
      <w:r w:rsidR="1A63C765">
        <w:t xml:space="preserve">equity and outcomes for </w:t>
      </w:r>
      <w:r w:rsidR="1F616AFD">
        <w:t>people with disabilities</w:t>
      </w:r>
      <w:r w:rsidR="0DA60BB4">
        <w:t>;</w:t>
      </w:r>
      <w:r w:rsidR="1F616AFD">
        <w:t xml:space="preserve"> </w:t>
      </w:r>
      <w:r w:rsidR="0D03057A">
        <w:t xml:space="preserve">and </w:t>
      </w:r>
      <w:r w:rsidR="1F616AFD">
        <w:t xml:space="preserve">inclusion of groups that experience greater marginalisation </w:t>
      </w:r>
      <w:r w:rsidR="5310E5D8">
        <w:t>This includes e</w:t>
      </w:r>
      <w:r w:rsidR="1F616AFD">
        <w:t>nsur</w:t>
      </w:r>
      <w:r w:rsidR="5310E5D8">
        <w:t>ing</w:t>
      </w:r>
      <w:r w:rsidR="1F616AFD">
        <w:t xml:space="preserve"> that quantitative and qualitative data are appropriately disaggregated, collected, </w:t>
      </w:r>
      <w:r>
        <w:t>analysed,</w:t>
      </w:r>
      <w:r w:rsidR="1F616AFD">
        <w:t xml:space="preserve"> and reported</w:t>
      </w:r>
      <w:r w:rsidR="591FA334">
        <w:t>, underpinned by principles of inclusion and meaningful participation</w:t>
      </w:r>
      <w:r w:rsidR="0DA60BB4">
        <w:t xml:space="preserve">. </w:t>
      </w:r>
      <w:r w:rsidR="66D22C32">
        <w:t xml:space="preserve"> </w:t>
      </w:r>
    </w:p>
    <w:p w14:paraId="728064B1" w14:textId="1058E0EC" w:rsidR="00C23C52" w:rsidRDefault="00C23C52" w:rsidP="00A92EC3">
      <w:pPr>
        <w:pStyle w:val="Listparagraphbullets"/>
      </w:pPr>
      <w:r>
        <w:t>W</w:t>
      </w:r>
      <w:r w:rsidR="3FB2E79C">
        <w:t xml:space="preserve">here </w:t>
      </w:r>
      <w:r w:rsidR="5A904BF2">
        <w:t xml:space="preserve">there is </w:t>
      </w:r>
      <w:r w:rsidR="019636A4">
        <w:t>intention</w:t>
      </w:r>
      <w:r w:rsidR="5A904BF2">
        <w:t xml:space="preserve"> to embed the perspectives of </w:t>
      </w:r>
      <w:r w:rsidR="3763407D">
        <w:t>First Nations</w:t>
      </w:r>
      <w:r w:rsidR="2CF86310">
        <w:t xml:space="preserve"> </w:t>
      </w:r>
      <w:r w:rsidR="0AEE4803">
        <w:t xml:space="preserve">Australians </w:t>
      </w:r>
      <w:r w:rsidR="1D336891">
        <w:t xml:space="preserve">into </w:t>
      </w:r>
      <w:r w:rsidR="03798FA9" w:rsidRPr="008B0F25">
        <w:t>partnership/project planning, delivery</w:t>
      </w:r>
      <w:r w:rsidR="00BE1DC7">
        <w:t>,</w:t>
      </w:r>
      <w:r w:rsidR="03798FA9" w:rsidRPr="008B0F25">
        <w:t xml:space="preserve"> </w:t>
      </w:r>
      <w:r w:rsidR="3B5822B6" w:rsidRPr="008B0F25">
        <w:t xml:space="preserve">and </w:t>
      </w:r>
      <w:r w:rsidR="03798FA9" w:rsidRPr="008B0F25">
        <w:t>governance structures</w:t>
      </w:r>
      <w:r w:rsidR="5BBA4E68" w:rsidRPr="008B0F25">
        <w:t>, this should be integrated into</w:t>
      </w:r>
      <w:r w:rsidR="03798FA9" w:rsidRPr="008B0F25">
        <w:t xml:space="preserve"> monitoring and evaluation.</w:t>
      </w:r>
      <w:r w:rsidR="31687A1D" w:rsidRPr="48035F03">
        <w:rPr>
          <w:rFonts w:ascii="Segoe UI" w:eastAsia="Segoe UI" w:hAnsi="Segoe UI" w:cs="Segoe UI"/>
          <w:color w:val="333333"/>
          <w:sz w:val="18"/>
          <w:szCs w:val="18"/>
        </w:rPr>
        <w:t xml:space="preserve"> </w:t>
      </w:r>
      <w:r w:rsidR="004F5BD5">
        <w:t xml:space="preserve">Additionally, </w:t>
      </w:r>
      <w:r>
        <w:t>where relevant monitoring systems should measure</w:t>
      </w:r>
      <w:r w:rsidR="002236D5">
        <w:t xml:space="preserve"> how</w:t>
      </w:r>
      <w:r w:rsidR="00C26ECE">
        <w:t xml:space="preserve"> promotion of</w:t>
      </w:r>
      <w:r w:rsidR="002236D5">
        <w:t xml:space="preserve"> </w:t>
      </w:r>
      <w:r w:rsidR="00C26ECE">
        <w:t xml:space="preserve">One Health </w:t>
      </w:r>
      <w:r w:rsidR="002236D5">
        <w:t>has contributed to greater</w:t>
      </w:r>
      <w:r w:rsidR="00C26ECE">
        <w:t xml:space="preserve"> health security, and th</w:t>
      </w:r>
      <w:r w:rsidR="005C32C2">
        <w:t xml:space="preserve">e </w:t>
      </w:r>
      <w:r w:rsidR="00C2655E">
        <w:t>extent tha</w:t>
      </w:r>
      <w:r w:rsidR="00C26ECE">
        <w:t>t</w:t>
      </w:r>
      <w:r w:rsidR="00C2655E">
        <w:t xml:space="preserve"> programs have</w:t>
      </w:r>
      <w:r w:rsidR="00C26ECE">
        <w:t xml:space="preserve"> </w:t>
      </w:r>
      <w:r w:rsidR="00C2655E" w:rsidRPr="00C2655E">
        <w:t>s</w:t>
      </w:r>
      <w:r w:rsidR="00C2655E">
        <w:t>trengthened</w:t>
      </w:r>
      <w:r w:rsidR="005C32C2" w:rsidRPr="005F3D62">
        <w:t xml:space="preserve"> mitigation and/or improv</w:t>
      </w:r>
      <w:r w:rsidR="00C2655E">
        <w:t>ed</w:t>
      </w:r>
      <w:r w:rsidR="005C32C2" w:rsidRPr="005F3D62">
        <w:t xml:space="preserve"> climate change adaptation and disaster resilience</w:t>
      </w:r>
      <w:r w:rsidR="00C2655E">
        <w:t xml:space="preserve">. </w:t>
      </w:r>
    </w:p>
    <w:p w14:paraId="25741430" w14:textId="563CB88A" w:rsidR="00CC238E" w:rsidRPr="00B847C7" w:rsidRDefault="00FD51A7" w:rsidP="00A92EC3">
      <w:pPr>
        <w:pStyle w:val="Listparagraphbullets"/>
      </w:pPr>
      <w:r w:rsidRPr="21CC7526">
        <w:rPr>
          <w:rStyle w:val="IntenseEmphasis"/>
        </w:rPr>
        <w:t>Allocat</w:t>
      </w:r>
      <w:r w:rsidR="00CC238E" w:rsidRPr="21CC7526">
        <w:rPr>
          <w:rStyle w:val="IntenseEmphasis"/>
        </w:rPr>
        <w:t>ing</w:t>
      </w:r>
      <w:r w:rsidRPr="21CC7526">
        <w:rPr>
          <w:rStyle w:val="IntenseEmphasis"/>
        </w:rPr>
        <w:t xml:space="preserve"> resources</w:t>
      </w:r>
      <w:r>
        <w:t xml:space="preserve"> </w:t>
      </w:r>
    </w:p>
    <w:p w14:paraId="3D18E15E" w14:textId="2B3BC82E" w:rsidR="00FD51A7" w:rsidRPr="00781AFF" w:rsidRDefault="7E986E64" w:rsidP="00A92EC3">
      <w:pPr>
        <w:pStyle w:val="Listparagraphbullets"/>
      </w:pPr>
      <w:r>
        <w:t>MEL is adequately resourced and costed</w:t>
      </w:r>
      <w:r w:rsidR="66E55576">
        <w:t xml:space="preserve"> (t</w:t>
      </w:r>
      <w:r w:rsidR="4A1BED12">
        <w:t xml:space="preserve">he Standards recommend between 4-7%) </w:t>
      </w:r>
      <w:r w:rsidR="13D4AA4B">
        <w:t>i</w:t>
      </w:r>
      <w:r w:rsidR="00FD51A7">
        <w:t>nclud</w:t>
      </w:r>
      <w:r w:rsidR="780F8078">
        <w:t>ing</w:t>
      </w:r>
      <w:r w:rsidR="00FD51A7">
        <w:t xml:space="preserve"> human resources</w:t>
      </w:r>
      <w:r w:rsidR="005713EC">
        <w:t>,</w:t>
      </w:r>
      <w:r w:rsidR="00FD51A7">
        <w:t xml:space="preserve"> to support the</w:t>
      </w:r>
      <w:r w:rsidR="00AB2EA8">
        <w:t xml:space="preserve"> approach to</w:t>
      </w:r>
      <w:r w:rsidR="00FD51A7">
        <w:t xml:space="preserve"> </w:t>
      </w:r>
      <w:r w:rsidR="07BABBC9">
        <w:t xml:space="preserve">MEL </w:t>
      </w:r>
      <w:r w:rsidR="00DA083C">
        <w:t xml:space="preserve">set out in the </w:t>
      </w:r>
      <w:r w:rsidR="0792E2DE">
        <w:t>design</w:t>
      </w:r>
      <w:r w:rsidR="005713EC">
        <w:t>.</w:t>
      </w:r>
      <w:r w:rsidR="003F5450">
        <w:t xml:space="preserve"> </w:t>
      </w:r>
    </w:p>
    <w:p w14:paraId="12FDE07D" w14:textId="72E2F06A" w:rsidR="00535B5E" w:rsidRPr="003E5695" w:rsidRDefault="00F3481F" w:rsidP="00F3481F">
      <w:pPr>
        <w:pStyle w:val="Heading3"/>
      </w:pPr>
      <w:bookmarkStart w:id="0" w:name="_Most_common_accessibility"/>
      <w:bookmarkEnd w:id="0"/>
      <w:r>
        <w:t>MEL r</w:t>
      </w:r>
      <w:r w:rsidR="38DC5852">
        <w:t xml:space="preserve">equirements </w:t>
      </w:r>
      <w:r w:rsidR="00BE1DC7">
        <w:t xml:space="preserve">for </w:t>
      </w:r>
      <w:r>
        <w:t xml:space="preserve">partner-led </w:t>
      </w:r>
      <w:r w:rsidR="62A6251B">
        <w:t>design</w:t>
      </w:r>
      <w:r>
        <w:t>s</w:t>
      </w:r>
    </w:p>
    <w:p w14:paraId="632B8021" w14:textId="6731FA20" w:rsidR="000C64D6" w:rsidRDefault="009021A2" w:rsidP="000C64D6">
      <w:pPr>
        <w:spacing w:after="120" w:line="259" w:lineRule="auto"/>
      </w:pPr>
      <w:r w:rsidRPr="76281EE4">
        <w:rPr>
          <w:rFonts w:cstheme="minorBidi"/>
        </w:rPr>
        <w:t>Partner</w:t>
      </w:r>
      <w:r w:rsidR="00FA3FE5" w:rsidRPr="76281EE4">
        <w:rPr>
          <w:rFonts w:cstheme="minorBidi"/>
        </w:rPr>
        <w:t xml:space="preserve">s must </w:t>
      </w:r>
      <w:r w:rsidR="001C23A0" w:rsidRPr="76281EE4">
        <w:rPr>
          <w:rFonts w:cstheme="minorBidi"/>
        </w:rPr>
        <w:t xml:space="preserve">include </w:t>
      </w:r>
      <w:r w:rsidR="00300C43" w:rsidRPr="76281EE4">
        <w:rPr>
          <w:rFonts w:cstheme="minorBidi"/>
        </w:rPr>
        <w:t>a program logic</w:t>
      </w:r>
      <w:r w:rsidR="008B0DF9" w:rsidRPr="76281EE4">
        <w:rPr>
          <w:rFonts w:cstheme="minorBidi"/>
        </w:rPr>
        <w:t>, an indic</w:t>
      </w:r>
      <w:r w:rsidR="00754966" w:rsidRPr="76281EE4">
        <w:rPr>
          <w:rFonts w:cstheme="minorBidi"/>
        </w:rPr>
        <w:t>a</w:t>
      </w:r>
      <w:r w:rsidR="008B0DF9" w:rsidRPr="76281EE4">
        <w:rPr>
          <w:rFonts w:cstheme="minorBidi"/>
        </w:rPr>
        <w:t>tive ME</w:t>
      </w:r>
      <w:r w:rsidR="00962F6B">
        <w:rPr>
          <w:rFonts w:cstheme="minorBidi"/>
        </w:rPr>
        <w:t>L</w:t>
      </w:r>
      <w:r w:rsidR="008B0DF9" w:rsidRPr="76281EE4">
        <w:rPr>
          <w:rFonts w:cstheme="minorBidi"/>
        </w:rPr>
        <w:t xml:space="preserve">F </w:t>
      </w:r>
      <w:r w:rsidR="00300C43" w:rsidRPr="76281EE4">
        <w:rPr>
          <w:rFonts w:cstheme="minorBidi"/>
        </w:rPr>
        <w:t xml:space="preserve">and </w:t>
      </w:r>
      <w:r w:rsidR="008B0DF9" w:rsidRPr="76281EE4">
        <w:rPr>
          <w:rFonts w:cstheme="minorBidi"/>
        </w:rPr>
        <w:t>a summary description of how the partner proposes to implement its MEL</w:t>
      </w:r>
      <w:r w:rsidR="001C23A0" w:rsidRPr="76281EE4">
        <w:rPr>
          <w:rFonts w:cstheme="minorBidi"/>
        </w:rPr>
        <w:t xml:space="preserve"> in the program design</w:t>
      </w:r>
      <w:r w:rsidR="00300C43" w:rsidRPr="76281EE4">
        <w:rPr>
          <w:rFonts w:cstheme="minorBidi"/>
        </w:rPr>
        <w:t xml:space="preserve">. </w:t>
      </w:r>
      <w:r w:rsidR="00EE2A91" w:rsidRPr="00B847C7">
        <w:t xml:space="preserve">Annex </w:t>
      </w:r>
      <w:r w:rsidR="00F3481F">
        <w:t>2</w:t>
      </w:r>
      <w:r w:rsidR="00EE2A91" w:rsidRPr="00B847C7">
        <w:t xml:space="preserve"> provides a </w:t>
      </w:r>
      <w:r w:rsidR="00EE2A91" w:rsidRPr="78130BE9">
        <w:t xml:space="preserve">checklist that will be used to assess the </w:t>
      </w:r>
      <w:r w:rsidR="00794986">
        <w:t>MEL aspects of the design</w:t>
      </w:r>
      <w:r w:rsidR="00EE2A91" w:rsidRPr="78130BE9">
        <w:t xml:space="preserve">. </w:t>
      </w:r>
    </w:p>
    <w:p w14:paraId="1F8A1D6B" w14:textId="61751174" w:rsidR="000C64D6" w:rsidRPr="003F6ECE" w:rsidRDefault="000C64D6" w:rsidP="000C64D6">
      <w:pPr>
        <w:spacing w:after="120" w:line="259" w:lineRule="auto"/>
        <w:rPr>
          <w:szCs w:val="22"/>
        </w:rPr>
      </w:pPr>
      <w:r w:rsidRPr="00255804">
        <w:rPr>
          <w:szCs w:val="22"/>
        </w:rPr>
        <w:t xml:space="preserve">DFAT’s expectations </w:t>
      </w:r>
      <w:r>
        <w:rPr>
          <w:szCs w:val="22"/>
        </w:rPr>
        <w:t>for MEL are</w:t>
      </w:r>
      <w:r w:rsidRPr="00255804">
        <w:rPr>
          <w:szCs w:val="22"/>
        </w:rPr>
        <w:t xml:space="preserve"> proportionate to the funding amount and complexity of the activities. Activities valued over $3 million</w:t>
      </w:r>
      <w:r>
        <w:rPr>
          <w:szCs w:val="22"/>
        </w:rPr>
        <w:t>, or those that pilot new or experimental interventions, are</w:t>
      </w:r>
      <w:r w:rsidRPr="00255804">
        <w:rPr>
          <w:szCs w:val="22"/>
        </w:rPr>
        <w:t xml:space="preserve"> expected to meet the </w:t>
      </w:r>
      <w:r>
        <w:rPr>
          <w:szCs w:val="22"/>
        </w:rPr>
        <w:t>S</w:t>
      </w:r>
      <w:r w:rsidRPr="00255804">
        <w:rPr>
          <w:szCs w:val="22"/>
        </w:rPr>
        <w:t xml:space="preserve">tandards comprehensively. </w:t>
      </w:r>
      <w:r>
        <w:rPr>
          <w:szCs w:val="22"/>
        </w:rPr>
        <w:t xml:space="preserve">Partner approaches to MEL vary, and DFAT acknowledges that program logics and MEL plans can look different. Partners can use their preferred approach, systems, and terminology provided that the Standards are met. </w:t>
      </w:r>
    </w:p>
    <w:p w14:paraId="671AEE8E" w14:textId="0D6CCC23" w:rsidR="00FA3FE5" w:rsidRPr="00DC3748" w:rsidRDefault="00300C43" w:rsidP="00775B15">
      <w:pPr>
        <w:spacing w:after="0" w:line="259" w:lineRule="auto"/>
        <w:rPr>
          <w:rFonts w:cstheme="minorHAnsi"/>
          <w:szCs w:val="22"/>
        </w:rPr>
      </w:pPr>
      <w:r>
        <w:rPr>
          <w:rFonts w:cstheme="minorHAnsi"/>
          <w:szCs w:val="22"/>
        </w:rPr>
        <w:t xml:space="preserve">The following provides </w:t>
      </w:r>
      <w:r w:rsidR="00794986">
        <w:rPr>
          <w:rFonts w:cstheme="minorHAnsi"/>
          <w:szCs w:val="22"/>
        </w:rPr>
        <w:t xml:space="preserve">specific </w:t>
      </w:r>
      <w:r>
        <w:rPr>
          <w:rFonts w:cstheme="minorHAnsi"/>
          <w:szCs w:val="22"/>
        </w:rPr>
        <w:t xml:space="preserve">guidance on these </w:t>
      </w:r>
      <w:r w:rsidR="00881356">
        <w:rPr>
          <w:rFonts w:cstheme="minorHAnsi"/>
          <w:szCs w:val="22"/>
        </w:rPr>
        <w:t>requirements:</w:t>
      </w:r>
      <w:r w:rsidR="00FA3FE5" w:rsidRPr="00DC3748">
        <w:rPr>
          <w:rFonts w:cstheme="minorHAnsi"/>
          <w:szCs w:val="22"/>
        </w:rPr>
        <w:t xml:space="preserve"> </w:t>
      </w:r>
    </w:p>
    <w:p w14:paraId="0AEEB9B7" w14:textId="5A1E012A" w:rsidR="00881356" w:rsidRDefault="00881356" w:rsidP="00EC2C0F">
      <w:pPr>
        <w:pStyle w:val="Heading5"/>
      </w:pPr>
      <w:r>
        <w:t>Program Logic</w:t>
      </w:r>
    </w:p>
    <w:p w14:paraId="7C87B723" w14:textId="79F7210F" w:rsidR="00B7762E" w:rsidRPr="005F3D62" w:rsidRDefault="00155003" w:rsidP="39945DB7">
      <w:pPr>
        <w:spacing w:after="120" w:line="259" w:lineRule="auto"/>
        <w:rPr>
          <w:rFonts w:cstheme="minorBidi"/>
        </w:rPr>
      </w:pPr>
      <w:r>
        <w:rPr>
          <w:rFonts w:cstheme="minorBidi"/>
        </w:rPr>
        <w:t xml:space="preserve">The </w:t>
      </w:r>
      <w:r w:rsidR="00C46B1F">
        <w:rPr>
          <w:rFonts w:cstheme="minorBidi"/>
        </w:rPr>
        <w:t xml:space="preserve">design </w:t>
      </w:r>
      <w:r w:rsidR="000417D4" w:rsidRPr="005F3D62">
        <w:rPr>
          <w:rFonts w:cstheme="minorBidi"/>
        </w:rPr>
        <w:t>program logic</w:t>
      </w:r>
      <w:r w:rsidR="000417D4" w:rsidRPr="39945DB7">
        <w:rPr>
          <w:rFonts w:cstheme="minorBidi"/>
        </w:rPr>
        <w:t xml:space="preserve"> diagram and narrative </w:t>
      </w:r>
      <w:r w:rsidR="00C90C1B">
        <w:rPr>
          <w:rFonts w:cstheme="minorBidi"/>
        </w:rPr>
        <w:t>should</w:t>
      </w:r>
      <w:r w:rsidR="000417D4" w:rsidRPr="39945DB7">
        <w:rPr>
          <w:rFonts w:cstheme="minorBidi"/>
        </w:rPr>
        <w:t xml:space="preserve"> </w:t>
      </w:r>
      <w:r w:rsidR="00C46B1F">
        <w:rPr>
          <w:rFonts w:cstheme="minorBidi"/>
        </w:rPr>
        <w:t>c</w:t>
      </w:r>
      <w:r w:rsidR="73E6FC45" w:rsidRPr="39945DB7">
        <w:rPr>
          <w:rFonts w:cstheme="minorBidi"/>
        </w:rPr>
        <w:t>learly articulate how partner activities link to and contribute towards the outcomes of the Partnerships for a Healthy Region</w:t>
      </w:r>
      <w:r w:rsidR="00C46B1F">
        <w:rPr>
          <w:rFonts w:cstheme="minorBidi"/>
        </w:rPr>
        <w:t xml:space="preserve"> </w:t>
      </w:r>
      <w:hyperlink r:id="rId13">
        <w:r w:rsidR="00C46B1F" w:rsidRPr="00BD677F">
          <w:rPr>
            <w:b/>
            <w:bCs/>
            <w:color w:val="075055"/>
          </w:rPr>
          <w:t>Program Logic</w:t>
        </w:r>
      </w:hyperlink>
      <w:r w:rsidR="73E6FC45" w:rsidRPr="39945DB7">
        <w:rPr>
          <w:rFonts w:cstheme="minorBidi"/>
        </w:rPr>
        <w:t xml:space="preserve">. </w:t>
      </w:r>
      <w:r w:rsidR="00EEE736">
        <w:t xml:space="preserve">At a minimum, each Partner’s activities </w:t>
      </w:r>
      <w:r w:rsidR="00EEE736" w:rsidRPr="39945DB7">
        <w:rPr>
          <w:u w:val="single"/>
        </w:rPr>
        <w:t xml:space="preserve">must directly contribute to at least one of EOPOs 1- 5, </w:t>
      </w:r>
      <w:r w:rsidR="00C90C1B">
        <w:rPr>
          <w:u w:val="single"/>
        </w:rPr>
        <w:t>and/or</w:t>
      </w:r>
      <w:r w:rsidR="00350C87">
        <w:rPr>
          <w:u w:val="single"/>
        </w:rPr>
        <w:t xml:space="preserve"> </w:t>
      </w:r>
      <w:r w:rsidR="00EEE736" w:rsidRPr="39945DB7">
        <w:rPr>
          <w:u w:val="single"/>
        </w:rPr>
        <w:t>one associated I</w:t>
      </w:r>
      <w:r>
        <w:rPr>
          <w:u w:val="single"/>
        </w:rPr>
        <w:t xml:space="preserve">ntermediate </w:t>
      </w:r>
      <w:r w:rsidR="00EEE736" w:rsidRPr="39945DB7">
        <w:rPr>
          <w:u w:val="single"/>
        </w:rPr>
        <w:t>O</w:t>
      </w:r>
      <w:r w:rsidR="00350C87">
        <w:rPr>
          <w:u w:val="single"/>
        </w:rPr>
        <w:t>utcome (IO)</w:t>
      </w:r>
      <w:r w:rsidR="15A7BE77" w:rsidRPr="39945DB7">
        <w:rPr>
          <w:u w:val="single"/>
        </w:rPr>
        <w:t>.</w:t>
      </w:r>
      <w:r w:rsidR="00350C87">
        <w:rPr>
          <w:u w:val="single"/>
        </w:rPr>
        <w:t xml:space="preserve"> </w:t>
      </w:r>
      <w:r w:rsidR="00B7762E">
        <w:rPr>
          <w:rFonts w:cstheme="minorBidi"/>
        </w:rPr>
        <w:t xml:space="preserve">It should also </w:t>
      </w:r>
      <w:r w:rsidR="00B7762E" w:rsidRPr="39945DB7">
        <w:rPr>
          <w:rFonts w:cstheme="minorBidi"/>
        </w:rPr>
        <w:t>meet</w:t>
      </w:r>
      <w:r w:rsidR="00B7762E">
        <w:rPr>
          <w:rFonts w:cstheme="minorBidi"/>
        </w:rPr>
        <w:t xml:space="preserve"> </w:t>
      </w:r>
      <w:r w:rsidR="00B7762E" w:rsidRPr="39945DB7">
        <w:rPr>
          <w:rFonts w:cstheme="minorBidi"/>
        </w:rPr>
        <w:t>DFAT’s Standard 3: Program Logic/Theory of Change</w:t>
      </w:r>
      <w:r w:rsidR="00B7762E">
        <w:rPr>
          <w:rFonts w:cstheme="minorBidi"/>
        </w:rPr>
        <w:t xml:space="preserve">. </w:t>
      </w:r>
    </w:p>
    <w:p w14:paraId="17494027" w14:textId="5C564D04" w:rsidR="00881356" w:rsidRDefault="00EEE736" w:rsidP="39945DB7">
      <w:pPr>
        <w:spacing w:after="120" w:line="259" w:lineRule="auto"/>
        <w:rPr>
          <w:rFonts w:cstheme="minorBidi"/>
        </w:rPr>
      </w:pPr>
      <w:r w:rsidRPr="39945DB7">
        <w:rPr>
          <w:rFonts w:cstheme="minorBidi"/>
        </w:rPr>
        <w:t xml:space="preserve">To support strengthened gender equality commitments in DFAT’s investments, </w:t>
      </w:r>
      <w:r w:rsidR="1C6A2AF3" w:rsidRPr="39945DB7">
        <w:rPr>
          <w:rFonts w:cstheme="minorBidi"/>
        </w:rPr>
        <w:t>it is</w:t>
      </w:r>
      <w:r w:rsidRPr="39945DB7">
        <w:rPr>
          <w:rFonts w:cstheme="minorBidi"/>
        </w:rPr>
        <w:t xml:space="preserve"> mandatory for proposals greater than $3 million to have a gender equality objective (either as an E</w:t>
      </w:r>
      <w:r w:rsidR="1C27F04E" w:rsidRPr="39945DB7">
        <w:rPr>
          <w:rFonts w:cstheme="minorBidi"/>
        </w:rPr>
        <w:t>OPO</w:t>
      </w:r>
      <w:r w:rsidRPr="39945DB7">
        <w:rPr>
          <w:rFonts w:cstheme="minorBidi"/>
        </w:rPr>
        <w:t xml:space="preserve"> or I</w:t>
      </w:r>
      <w:r w:rsidR="6988A892" w:rsidRPr="39945DB7">
        <w:rPr>
          <w:rFonts w:cstheme="minorBidi"/>
        </w:rPr>
        <w:t>O</w:t>
      </w:r>
      <w:r w:rsidRPr="39945DB7">
        <w:rPr>
          <w:rFonts w:cstheme="minorBidi"/>
        </w:rPr>
        <w:t>).</w:t>
      </w:r>
      <w:r w:rsidR="15A7BE77" w:rsidRPr="39945DB7">
        <w:rPr>
          <w:rFonts w:cstheme="minorBidi"/>
        </w:rPr>
        <w:t xml:space="preserve"> </w:t>
      </w:r>
    </w:p>
    <w:p w14:paraId="3EBF8543" w14:textId="77777777" w:rsidR="00300C43" w:rsidRPr="007E49A0" w:rsidRDefault="7E12C151" w:rsidP="00300C43">
      <w:pPr>
        <w:spacing w:after="0" w:line="250" w:lineRule="auto"/>
        <w:contextualSpacing/>
        <w:rPr>
          <w:b/>
          <w:bCs/>
        </w:rPr>
      </w:pPr>
      <w:r w:rsidRPr="39945DB7">
        <w:rPr>
          <w:b/>
          <w:bCs/>
        </w:rPr>
        <w:t>Tips:</w:t>
      </w:r>
    </w:p>
    <w:p w14:paraId="54682392" w14:textId="1D3A68D9" w:rsidR="00300C43" w:rsidRPr="00610AF6" w:rsidRDefault="00300C43">
      <w:pPr>
        <w:pStyle w:val="ListParagraph"/>
        <w:numPr>
          <w:ilvl w:val="0"/>
          <w:numId w:val="12"/>
        </w:numPr>
        <w:suppressAutoHyphens w:val="0"/>
        <w:spacing w:before="0" w:after="120" w:line="250" w:lineRule="auto"/>
        <w:rPr>
          <w:i/>
          <w:iCs/>
        </w:rPr>
      </w:pPr>
      <w:r w:rsidRPr="00610AF6">
        <w:rPr>
          <w:i/>
          <w:iCs/>
        </w:rPr>
        <w:t xml:space="preserve">Check </w:t>
      </w:r>
      <w:r w:rsidR="00881356">
        <w:rPr>
          <w:i/>
          <w:iCs/>
        </w:rPr>
        <w:t>your</w:t>
      </w:r>
      <w:r w:rsidRPr="00610AF6">
        <w:rPr>
          <w:i/>
          <w:iCs/>
        </w:rPr>
        <w:t xml:space="preserve"> P</w:t>
      </w:r>
      <w:r>
        <w:rPr>
          <w:i/>
          <w:iCs/>
        </w:rPr>
        <w:t xml:space="preserve">rogram </w:t>
      </w:r>
      <w:r w:rsidRPr="00610AF6">
        <w:rPr>
          <w:i/>
          <w:iCs/>
        </w:rPr>
        <w:t>L</w:t>
      </w:r>
      <w:r>
        <w:rPr>
          <w:i/>
          <w:iCs/>
        </w:rPr>
        <w:t>ogic</w:t>
      </w:r>
      <w:r w:rsidRPr="00610AF6">
        <w:rPr>
          <w:i/>
          <w:iCs/>
        </w:rPr>
        <w:t xml:space="preserve"> provides a clear visual of how change can occur in the relevant context. </w:t>
      </w:r>
      <w:r>
        <w:rPr>
          <w:i/>
          <w:iCs/>
        </w:rPr>
        <w:t>Does it</w:t>
      </w:r>
      <w:r w:rsidRPr="00610AF6">
        <w:rPr>
          <w:i/>
          <w:iCs/>
        </w:rPr>
        <w:t xml:space="preserve"> provide pathways to change</w:t>
      </w:r>
      <w:r>
        <w:rPr>
          <w:i/>
          <w:iCs/>
        </w:rPr>
        <w:t xml:space="preserve"> </w:t>
      </w:r>
      <w:r w:rsidRPr="00610AF6">
        <w:rPr>
          <w:i/>
          <w:iCs/>
        </w:rPr>
        <w:t>using an ‘if-then’ logic</w:t>
      </w:r>
      <w:r>
        <w:rPr>
          <w:i/>
          <w:iCs/>
        </w:rPr>
        <w:t>?</w:t>
      </w:r>
    </w:p>
    <w:p w14:paraId="3A2975C6" w14:textId="77777777" w:rsidR="00300C43" w:rsidRPr="00610AF6" w:rsidRDefault="00300C43">
      <w:pPr>
        <w:pStyle w:val="ListParagraph"/>
        <w:numPr>
          <w:ilvl w:val="0"/>
          <w:numId w:val="12"/>
        </w:numPr>
        <w:suppressAutoHyphens w:val="0"/>
        <w:spacing w:before="0" w:after="120" w:line="250" w:lineRule="auto"/>
        <w:rPr>
          <w:i/>
          <w:iCs/>
        </w:rPr>
      </w:pPr>
      <w:r w:rsidRPr="00610AF6">
        <w:rPr>
          <w:i/>
          <w:iCs/>
        </w:rPr>
        <w:t xml:space="preserve">Use of terminology </w:t>
      </w:r>
      <w:r>
        <w:rPr>
          <w:i/>
          <w:iCs/>
        </w:rPr>
        <w:t>–</w:t>
      </w:r>
      <w:r w:rsidRPr="00610AF6">
        <w:rPr>
          <w:i/>
          <w:iCs/>
        </w:rPr>
        <w:t xml:space="preserve"> DFAT uses the following terminology for logic levels: goal, objective, end of program outcomes (EOPOs), intermediate outcomes (I</w:t>
      </w:r>
      <w:r>
        <w:rPr>
          <w:i/>
          <w:iCs/>
        </w:rPr>
        <w:t>O</w:t>
      </w:r>
      <w:r w:rsidRPr="00610AF6">
        <w:rPr>
          <w:i/>
          <w:iCs/>
        </w:rPr>
        <w:t>s), outputs. If partners use other terminology, include an explanation to align with DFAT terminology.</w:t>
      </w:r>
    </w:p>
    <w:p w14:paraId="63980FAF" w14:textId="5D0ECAA0" w:rsidR="00300C43" w:rsidRPr="00610AF6" w:rsidRDefault="00881356">
      <w:pPr>
        <w:pStyle w:val="ListParagraph"/>
        <w:numPr>
          <w:ilvl w:val="0"/>
          <w:numId w:val="12"/>
        </w:numPr>
        <w:suppressAutoHyphens w:val="0"/>
        <w:spacing w:before="0" w:after="120" w:line="250" w:lineRule="auto"/>
        <w:rPr>
          <w:i/>
          <w:iCs/>
        </w:rPr>
      </w:pPr>
      <w:r>
        <w:rPr>
          <w:i/>
          <w:iCs/>
        </w:rPr>
        <w:lastRenderedPageBreak/>
        <w:t>T</w:t>
      </w:r>
      <w:r w:rsidR="00300C43" w:rsidRPr="184DFCC7">
        <w:rPr>
          <w:i/>
          <w:iCs/>
        </w:rPr>
        <w:t>he EOPOs and I</w:t>
      </w:r>
      <w:r w:rsidR="00300C43">
        <w:rPr>
          <w:i/>
          <w:iCs/>
        </w:rPr>
        <w:t>O</w:t>
      </w:r>
      <w:r w:rsidR="00300C43" w:rsidRPr="184DFCC7">
        <w:rPr>
          <w:i/>
          <w:iCs/>
        </w:rPr>
        <w:t>s should be worded as outcome statements, describe a change that is expected to occur</w:t>
      </w:r>
      <w:r w:rsidR="00300C43" w:rsidRPr="00285A22">
        <w:rPr>
          <w:i/>
          <w:iCs/>
        </w:rPr>
        <w:t xml:space="preserve"> </w:t>
      </w:r>
      <w:r w:rsidR="00300C43">
        <w:rPr>
          <w:i/>
          <w:iCs/>
        </w:rPr>
        <w:t>and where possible</w:t>
      </w:r>
      <w:r w:rsidR="00300C43" w:rsidRPr="184DFCC7">
        <w:rPr>
          <w:i/>
          <w:iCs/>
        </w:rPr>
        <w:t xml:space="preserve"> are ‘actor-based’. A program is generally contracted to achieve the EOPOs, and it should be clear in the Program Logic and the MEL Plan (refer scope) as to what level the program is accountable to deliver. </w:t>
      </w:r>
    </w:p>
    <w:p w14:paraId="5B9E95D9" w14:textId="5DC273DE" w:rsidR="00300C43" w:rsidRPr="00610AF6" w:rsidRDefault="00B7762E" w:rsidP="48035F03">
      <w:pPr>
        <w:pStyle w:val="ListParagraph"/>
        <w:numPr>
          <w:ilvl w:val="0"/>
          <w:numId w:val="12"/>
        </w:numPr>
        <w:suppressAutoHyphens w:val="0"/>
        <w:spacing w:before="0" w:after="120" w:line="250" w:lineRule="auto"/>
        <w:rPr>
          <w:i/>
          <w:iCs/>
        </w:rPr>
      </w:pPr>
      <w:r w:rsidRPr="005F3D62">
        <w:rPr>
          <w:i/>
          <w:iCs/>
        </w:rPr>
        <w:t>Develop outcomes based on GEDSI analysis that address the specific GEDSI challenges, barriers and opportunities within the program context and clearly articulate the desired change and outcomes for populations and groups who experience health disparities and inequities.</w:t>
      </w:r>
    </w:p>
    <w:p w14:paraId="6DE78789" w14:textId="7FEE57C8" w:rsidR="00300C43" w:rsidRDefault="00300C43" w:rsidP="3141B229">
      <w:pPr>
        <w:pStyle w:val="ListParagraph"/>
        <w:numPr>
          <w:ilvl w:val="0"/>
          <w:numId w:val="12"/>
        </w:numPr>
        <w:suppressAutoHyphens w:val="0"/>
        <w:spacing w:before="0" w:after="120" w:line="250" w:lineRule="auto"/>
        <w:rPr>
          <w:i/>
          <w:iCs/>
        </w:rPr>
      </w:pPr>
      <w:r w:rsidRPr="3141B229">
        <w:rPr>
          <w:i/>
          <w:iCs/>
        </w:rPr>
        <w:t>Numbering the EOPOs, IOs and outputs</w:t>
      </w:r>
      <w:r>
        <w:t xml:space="preserve"> </w:t>
      </w:r>
      <w:r w:rsidRPr="3141B229">
        <w:rPr>
          <w:i/>
          <w:iCs/>
        </w:rPr>
        <w:t xml:space="preserve">makes it easier to track in the </w:t>
      </w:r>
      <w:r w:rsidR="78562AC7" w:rsidRPr="3141B229">
        <w:rPr>
          <w:i/>
          <w:iCs/>
        </w:rPr>
        <w:t>MELF</w:t>
      </w:r>
      <w:r w:rsidRPr="3141B229">
        <w:rPr>
          <w:i/>
          <w:iCs/>
        </w:rPr>
        <w:t>. Please tag outcomes that connect directly to the PHR Program Logic</w:t>
      </w:r>
      <w:r w:rsidR="00D357A4" w:rsidRPr="3141B229">
        <w:rPr>
          <w:i/>
          <w:iCs/>
        </w:rPr>
        <w:t xml:space="preserve">, using DFAT’s </w:t>
      </w:r>
      <w:r w:rsidR="004E142F" w:rsidRPr="3141B229">
        <w:rPr>
          <w:i/>
          <w:iCs/>
        </w:rPr>
        <w:t>numbering</w:t>
      </w:r>
      <w:r w:rsidRPr="3141B229">
        <w:rPr>
          <w:i/>
          <w:iCs/>
        </w:rPr>
        <w:t xml:space="preserve"> (</w:t>
      </w:r>
      <w:proofErr w:type="gramStart"/>
      <w:r w:rsidRPr="3141B229">
        <w:rPr>
          <w:i/>
          <w:iCs/>
        </w:rPr>
        <w:t>e.g.</w:t>
      </w:r>
      <w:proofErr w:type="gramEnd"/>
      <w:r w:rsidRPr="3141B229">
        <w:rPr>
          <w:i/>
          <w:iCs/>
        </w:rPr>
        <w:t xml:space="preserve"> ref PHR IO1.2). </w:t>
      </w:r>
    </w:p>
    <w:p w14:paraId="19943C74" w14:textId="43F2199F" w:rsidR="001A3262" w:rsidRPr="00EC2C0F" w:rsidRDefault="001A3262" w:rsidP="00EC2C0F">
      <w:pPr>
        <w:pStyle w:val="Heading5"/>
      </w:pPr>
      <w:r>
        <w:t>A Monitoring, Evaluation and Learning Framework</w:t>
      </w:r>
    </w:p>
    <w:p w14:paraId="0D5F4B5A" w14:textId="0E9FA724" w:rsidR="00C15C4C" w:rsidRDefault="1F3ADB8C" w:rsidP="39945DB7">
      <w:pPr>
        <w:spacing w:after="120" w:line="259" w:lineRule="auto"/>
        <w:rPr>
          <w:rFonts w:cstheme="minorBidi"/>
        </w:rPr>
      </w:pPr>
      <w:r w:rsidRPr="00EC2C0F">
        <w:rPr>
          <w:rFonts w:cstheme="minorBidi"/>
        </w:rPr>
        <w:t xml:space="preserve">All designs must include </w:t>
      </w:r>
      <w:r w:rsidR="27241FFD" w:rsidRPr="00EC2C0F">
        <w:rPr>
          <w:rFonts w:cstheme="minorBidi"/>
        </w:rPr>
        <w:t>a</w:t>
      </w:r>
      <w:r w:rsidRPr="00EC2C0F">
        <w:rPr>
          <w:rFonts w:cstheme="minorBidi"/>
        </w:rPr>
        <w:t xml:space="preserve"> </w:t>
      </w:r>
      <w:r w:rsidR="31D56F6B" w:rsidRPr="00EC2C0F">
        <w:rPr>
          <w:rFonts w:cstheme="minorBidi"/>
        </w:rPr>
        <w:t>draft</w:t>
      </w:r>
      <w:r w:rsidRPr="00EC2C0F">
        <w:rPr>
          <w:rFonts w:cstheme="minorBidi"/>
        </w:rPr>
        <w:t xml:space="preserve"> M</w:t>
      </w:r>
      <w:r w:rsidR="7BFB82D5" w:rsidRPr="00EC2C0F">
        <w:rPr>
          <w:rFonts w:cstheme="minorBidi"/>
        </w:rPr>
        <w:t>E</w:t>
      </w:r>
      <w:r w:rsidR="5A046870" w:rsidRPr="00EC2C0F">
        <w:rPr>
          <w:rFonts w:cstheme="minorBidi"/>
        </w:rPr>
        <w:t>L</w:t>
      </w:r>
      <w:r w:rsidR="7BFB82D5" w:rsidRPr="00EC2C0F">
        <w:rPr>
          <w:rFonts w:cstheme="minorBidi"/>
        </w:rPr>
        <w:t>F</w:t>
      </w:r>
      <w:r w:rsidR="02648D0A" w:rsidRPr="00EC2C0F">
        <w:rPr>
          <w:rFonts w:cstheme="minorBidi"/>
        </w:rPr>
        <w:t xml:space="preserve">, covering </w:t>
      </w:r>
      <w:r w:rsidR="4553A6EC" w:rsidRPr="00EC2C0F">
        <w:rPr>
          <w:rFonts w:cstheme="minorBidi"/>
        </w:rPr>
        <w:t xml:space="preserve">the </w:t>
      </w:r>
      <w:r w:rsidR="47D52ED8" w:rsidRPr="00EC2C0F">
        <w:rPr>
          <w:rFonts w:cstheme="minorBidi"/>
        </w:rPr>
        <w:t>program</w:t>
      </w:r>
      <w:r w:rsidR="76E702B5" w:rsidRPr="00EC2C0F">
        <w:rPr>
          <w:rFonts w:cstheme="minorBidi"/>
        </w:rPr>
        <w:t>’</w:t>
      </w:r>
      <w:r w:rsidR="47D52ED8" w:rsidRPr="00EC2C0F">
        <w:rPr>
          <w:rFonts w:cstheme="minorBidi"/>
        </w:rPr>
        <w:t xml:space="preserve">s </w:t>
      </w:r>
      <w:r w:rsidRPr="00EC2C0F">
        <w:rPr>
          <w:rFonts w:cstheme="minorBidi"/>
        </w:rPr>
        <w:t>key evaluation and monitoring questions, a small set of key performance indicators, data sources, frequency of data collection, baselines (if available)</w:t>
      </w:r>
      <w:r w:rsidR="4553A6EC" w:rsidRPr="00EC2C0F">
        <w:rPr>
          <w:rFonts w:cstheme="minorBidi"/>
        </w:rPr>
        <w:t xml:space="preserve"> mapped against the program’s outcomes.</w:t>
      </w:r>
      <w:r w:rsidRPr="00EC2C0F">
        <w:rPr>
          <w:rFonts w:cstheme="minorBidi"/>
        </w:rPr>
        <w:t xml:space="preserve"> </w:t>
      </w:r>
      <w:r w:rsidR="60A992B7" w:rsidRPr="00EC2C0F">
        <w:rPr>
          <w:rFonts w:cstheme="minorBidi"/>
        </w:rPr>
        <w:t xml:space="preserve">Annex 1 provides a template for a </w:t>
      </w:r>
      <w:r w:rsidR="12097BD2" w:rsidRPr="00EC2C0F">
        <w:rPr>
          <w:rFonts w:cstheme="minorBidi"/>
        </w:rPr>
        <w:t>draft</w:t>
      </w:r>
      <w:r w:rsidR="60A992B7" w:rsidRPr="00EC2C0F">
        <w:rPr>
          <w:rFonts w:cstheme="minorBidi"/>
        </w:rPr>
        <w:t xml:space="preserve"> ME</w:t>
      </w:r>
      <w:r w:rsidR="6C855069" w:rsidRPr="00EC2C0F">
        <w:rPr>
          <w:rFonts w:cstheme="minorBidi"/>
        </w:rPr>
        <w:t>L</w:t>
      </w:r>
      <w:r w:rsidR="60A992B7" w:rsidRPr="00EC2C0F">
        <w:rPr>
          <w:rFonts w:cstheme="minorBidi"/>
        </w:rPr>
        <w:t>F.</w:t>
      </w:r>
      <w:r w:rsidR="00EC2C0F" w:rsidRPr="00EC2C0F">
        <w:rPr>
          <w:rFonts w:cstheme="minorBidi"/>
        </w:rPr>
        <w:t xml:space="preserve"> </w:t>
      </w:r>
      <w:r w:rsidR="00EC2C0F" w:rsidRPr="005F3D62">
        <w:rPr>
          <w:rFonts w:cstheme="minorBidi"/>
        </w:rPr>
        <w:t>Once the design is submitted, the PHR team will work in partnership with partners to finalise theirs MELFs – with a particular focus of interface between partner MELFs and PHR wide performance frameworks.</w:t>
      </w:r>
    </w:p>
    <w:p w14:paraId="483881E5" w14:textId="12FE0F5B" w:rsidR="00B31D33" w:rsidRDefault="4553A6EC" w:rsidP="00B31D33">
      <w:pPr>
        <w:spacing w:after="200" w:line="259" w:lineRule="auto"/>
      </w:pPr>
      <w:r>
        <w:t xml:space="preserve">DFAT will provide partners with a list of </w:t>
      </w:r>
      <w:r w:rsidR="28373342">
        <w:t>draft</w:t>
      </w:r>
      <w:r>
        <w:t xml:space="preserve"> indicators by PHR Outcome (IO and EOPO) that will inform partner ME</w:t>
      </w:r>
      <w:r w:rsidR="487CCDDF">
        <w:t>L</w:t>
      </w:r>
      <w:r>
        <w:t xml:space="preserve">Fs. Partners should select the indicators that relate to their program, </w:t>
      </w:r>
      <w:proofErr w:type="gramStart"/>
      <w:r>
        <w:t>i.e.</w:t>
      </w:r>
      <w:proofErr w:type="gramEnd"/>
      <w:r>
        <w:t xml:space="preserve"> a partner will identify the specific PHR outcomes that they expect to report </w:t>
      </w:r>
      <w:r w:rsidR="0FAAE801">
        <w:t>to and</w:t>
      </w:r>
      <w:r>
        <w:t xml:space="preserve"> select the applicable</w:t>
      </w:r>
      <w:r w:rsidR="6BB2C56A">
        <w:t xml:space="preserve"> PHR</w:t>
      </w:r>
      <w:r>
        <w:t xml:space="preserve"> indicators</w:t>
      </w:r>
      <w:r w:rsidR="6BB2C56A">
        <w:t xml:space="preserve"> listed against those outcomes</w:t>
      </w:r>
      <w:r>
        <w:t xml:space="preserve">. Partners </w:t>
      </w:r>
      <w:r w:rsidR="30B8F033">
        <w:t xml:space="preserve">would also be expected to </w:t>
      </w:r>
      <w:r>
        <w:t xml:space="preserve">include their own indicators as needed to provide evidence of how the project is contributing to change. The rationale for having PHR indicators, is to support PHR to undertake aggregated reporting of a program area as a whole – with each partner contributing to change. </w:t>
      </w:r>
    </w:p>
    <w:p w14:paraId="224103C8" w14:textId="2E270DA2" w:rsidR="00881356" w:rsidRPr="00535817" w:rsidRDefault="6973F89F" w:rsidP="00EC2C0F">
      <w:pPr>
        <w:pStyle w:val="Heading5"/>
      </w:pPr>
      <w:r>
        <w:t>P</w:t>
      </w:r>
      <w:r w:rsidR="12800047">
        <w:t xml:space="preserve">rogram’s </w:t>
      </w:r>
      <w:r>
        <w:t xml:space="preserve">approach to </w:t>
      </w:r>
      <w:r w:rsidR="34D15680">
        <w:t xml:space="preserve">MEL </w:t>
      </w:r>
    </w:p>
    <w:p w14:paraId="0B89B213" w14:textId="371EC1F3" w:rsidR="00151FAA" w:rsidRPr="006C21E4" w:rsidRDefault="00B31D33" w:rsidP="3141B229">
      <w:pPr>
        <w:spacing w:after="120" w:line="259" w:lineRule="auto"/>
        <w:rPr>
          <w:rFonts w:cstheme="minorBidi"/>
        </w:rPr>
      </w:pPr>
      <w:r>
        <w:t xml:space="preserve">The design document </w:t>
      </w:r>
      <w:r w:rsidR="00263BFE">
        <w:t>will include</w:t>
      </w:r>
      <w:r>
        <w:t xml:space="preserve"> </w:t>
      </w:r>
      <w:r w:rsidR="00D379D8">
        <w:t xml:space="preserve">a brief description of the </w:t>
      </w:r>
      <w:r w:rsidR="007F2777">
        <w:t xml:space="preserve">program’s </w:t>
      </w:r>
      <w:r w:rsidR="00D379D8">
        <w:t xml:space="preserve">approach to track, </w:t>
      </w:r>
      <w:r w:rsidR="001545B5">
        <w:t>verify,</w:t>
      </w:r>
      <w:r w:rsidR="00D379D8">
        <w:t xml:space="preserve"> and improve program performance</w:t>
      </w:r>
      <w:r w:rsidR="1E19B999">
        <w:t>.</w:t>
      </w:r>
      <w:r w:rsidR="00D379D8" w:rsidRPr="3141B229">
        <w:rPr>
          <w:rFonts w:cstheme="minorBidi"/>
        </w:rPr>
        <w:t xml:space="preserve"> </w:t>
      </w:r>
      <w:r w:rsidRPr="3141B229">
        <w:rPr>
          <w:rFonts w:cstheme="minorBidi"/>
        </w:rPr>
        <w:t>Th</w:t>
      </w:r>
      <w:r w:rsidR="00FB0E35" w:rsidRPr="3141B229">
        <w:rPr>
          <w:rFonts w:cstheme="minorBidi"/>
        </w:rPr>
        <w:t>e</w:t>
      </w:r>
      <w:r w:rsidR="4FE60E60" w:rsidRPr="3141B229">
        <w:rPr>
          <w:rFonts w:cstheme="minorBidi"/>
        </w:rPr>
        <w:t xml:space="preserve"> </w:t>
      </w:r>
      <w:r w:rsidR="00AC3728" w:rsidRPr="3141B229">
        <w:rPr>
          <w:rFonts w:cstheme="minorBidi"/>
        </w:rPr>
        <w:t xml:space="preserve">following outlines information to be included in the </w:t>
      </w:r>
      <w:r w:rsidR="00263BFE">
        <w:rPr>
          <w:rFonts w:cstheme="minorBidi"/>
        </w:rPr>
        <w:t xml:space="preserve">MEL section of the </w:t>
      </w:r>
      <w:r w:rsidR="00AC3728" w:rsidRPr="3141B229">
        <w:rPr>
          <w:rFonts w:cstheme="minorBidi"/>
        </w:rPr>
        <w:t>design</w:t>
      </w:r>
      <w:r w:rsidR="00263BFE">
        <w:rPr>
          <w:rFonts w:cstheme="minorBidi"/>
        </w:rPr>
        <w:t xml:space="preserve"> document</w:t>
      </w:r>
      <w:r w:rsidR="00AC3728" w:rsidRPr="3141B229">
        <w:rPr>
          <w:rFonts w:cstheme="minorBidi"/>
        </w:rPr>
        <w:t>:</w:t>
      </w:r>
      <w:r w:rsidRPr="3141B229">
        <w:rPr>
          <w:rFonts w:cstheme="minorBidi"/>
        </w:rPr>
        <w:t xml:space="preserve"> </w:t>
      </w:r>
    </w:p>
    <w:p w14:paraId="53F32603" w14:textId="7D994322" w:rsidR="00EC37F9" w:rsidRDefault="007F2777">
      <w:pPr>
        <w:pStyle w:val="ListParagraph"/>
        <w:numPr>
          <w:ilvl w:val="0"/>
          <w:numId w:val="16"/>
        </w:numPr>
        <w:spacing w:after="120" w:line="259" w:lineRule="auto"/>
        <w:rPr>
          <w:rFonts w:cstheme="minorHAnsi"/>
          <w:szCs w:val="22"/>
        </w:rPr>
      </w:pPr>
      <w:r w:rsidRPr="00151FAA">
        <w:rPr>
          <w:rFonts w:cstheme="minorHAnsi"/>
          <w:szCs w:val="22"/>
        </w:rPr>
        <w:t>a brief outline of proposed data collection methods and how the MEL system will work with, or align with other partners (</w:t>
      </w:r>
      <w:proofErr w:type="gramStart"/>
      <w:r w:rsidRPr="00151FAA">
        <w:rPr>
          <w:rFonts w:cstheme="minorHAnsi"/>
          <w:szCs w:val="22"/>
        </w:rPr>
        <w:t>e.g.</w:t>
      </w:r>
      <w:proofErr w:type="gramEnd"/>
      <w:r w:rsidRPr="00151FAA">
        <w:rPr>
          <w:rFonts w:cstheme="minorHAnsi"/>
          <w:szCs w:val="22"/>
        </w:rPr>
        <w:t xml:space="preserve"> a partner government)</w:t>
      </w:r>
      <w:r w:rsidR="00B11E93">
        <w:rPr>
          <w:rFonts w:cstheme="minorHAnsi"/>
          <w:szCs w:val="22"/>
        </w:rPr>
        <w:t>,</w:t>
      </w:r>
    </w:p>
    <w:p w14:paraId="456A7FB7" w14:textId="4636E6E8" w:rsidR="00616FCB" w:rsidRPr="00625FC1" w:rsidRDefault="00770500">
      <w:pPr>
        <w:pStyle w:val="ListParagraph"/>
        <w:numPr>
          <w:ilvl w:val="0"/>
          <w:numId w:val="16"/>
        </w:numPr>
        <w:spacing w:after="120" w:line="259" w:lineRule="auto"/>
        <w:rPr>
          <w:rFonts w:cstheme="minorHAnsi"/>
          <w:szCs w:val="22"/>
        </w:rPr>
      </w:pPr>
      <w:r>
        <w:rPr>
          <w:rFonts w:cstheme="minorHAnsi"/>
          <w:szCs w:val="22"/>
        </w:rPr>
        <w:t>confirmation that</w:t>
      </w:r>
      <w:r w:rsidR="00616FCB">
        <w:rPr>
          <w:rFonts w:cstheme="minorHAnsi"/>
          <w:szCs w:val="22"/>
        </w:rPr>
        <w:t xml:space="preserve"> the </w:t>
      </w:r>
      <w:r w:rsidR="00625FC1">
        <w:rPr>
          <w:rFonts w:cstheme="minorHAnsi"/>
          <w:szCs w:val="22"/>
        </w:rPr>
        <w:t xml:space="preserve">monitoring (&amp; evaluation) </w:t>
      </w:r>
      <w:r w:rsidR="00616FCB">
        <w:rPr>
          <w:rFonts w:cstheme="minorHAnsi"/>
          <w:szCs w:val="22"/>
        </w:rPr>
        <w:t>will measure</w:t>
      </w:r>
      <w:r>
        <w:rPr>
          <w:rFonts w:cstheme="minorHAnsi"/>
          <w:szCs w:val="22"/>
        </w:rPr>
        <w:t xml:space="preserve"> progress towards outcomes,</w:t>
      </w:r>
      <w:r w:rsidR="00616FCB">
        <w:rPr>
          <w:rFonts w:cstheme="minorHAnsi"/>
          <w:szCs w:val="22"/>
        </w:rPr>
        <w:t xml:space="preserve"> </w:t>
      </w:r>
      <w:r w:rsidR="00616FCB" w:rsidRPr="00625FC1">
        <w:rPr>
          <w:rFonts w:cstheme="minorHAnsi"/>
          <w:szCs w:val="22"/>
        </w:rPr>
        <w:t xml:space="preserve">reach / </w:t>
      </w:r>
      <w:r w:rsidR="001545B5" w:rsidRPr="00625FC1">
        <w:rPr>
          <w:rFonts w:cstheme="minorHAnsi"/>
          <w:szCs w:val="22"/>
        </w:rPr>
        <w:t>coverage,</w:t>
      </w:r>
      <w:r w:rsidR="00616FCB" w:rsidRPr="00625FC1">
        <w:rPr>
          <w:rFonts w:cstheme="minorHAnsi"/>
          <w:szCs w:val="22"/>
        </w:rPr>
        <w:t xml:space="preserve"> and </w:t>
      </w:r>
      <w:r w:rsidR="00625FC1">
        <w:rPr>
          <w:rFonts w:cstheme="minorHAnsi"/>
          <w:szCs w:val="22"/>
        </w:rPr>
        <w:t xml:space="preserve">the </w:t>
      </w:r>
      <w:r w:rsidR="00616FCB" w:rsidRPr="00625FC1">
        <w:rPr>
          <w:rFonts w:cstheme="minorHAnsi"/>
          <w:szCs w:val="22"/>
        </w:rPr>
        <w:t xml:space="preserve">quality of key </w:t>
      </w:r>
      <w:r w:rsidR="003A49D9">
        <w:rPr>
          <w:rFonts w:cstheme="minorHAnsi"/>
          <w:szCs w:val="22"/>
        </w:rPr>
        <w:t>outputs (</w:t>
      </w:r>
      <w:proofErr w:type="gramStart"/>
      <w:r w:rsidR="003A49D9">
        <w:rPr>
          <w:rFonts w:cstheme="minorHAnsi"/>
          <w:szCs w:val="22"/>
        </w:rPr>
        <w:t>e.g.</w:t>
      </w:r>
      <w:proofErr w:type="gramEnd"/>
      <w:r w:rsidR="003A49D9">
        <w:rPr>
          <w:rFonts w:cstheme="minorHAnsi"/>
          <w:szCs w:val="22"/>
        </w:rPr>
        <w:t xml:space="preserve"> for training delivered – measure how the additional skills are being used)</w:t>
      </w:r>
      <w:r w:rsidR="00B11E93">
        <w:rPr>
          <w:rFonts w:cstheme="minorHAnsi"/>
          <w:szCs w:val="22"/>
        </w:rPr>
        <w:t>,</w:t>
      </w:r>
    </w:p>
    <w:p w14:paraId="7134749C" w14:textId="77777777" w:rsidR="004034E8" w:rsidRDefault="00EC37F9" w:rsidP="009A0122">
      <w:pPr>
        <w:pStyle w:val="ListParagraph"/>
        <w:numPr>
          <w:ilvl w:val="0"/>
          <w:numId w:val="16"/>
        </w:numPr>
        <w:spacing w:after="120" w:line="259" w:lineRule="auto"/>
        <w:rPr>
          <w:rFonts w:cstheme="minorHAnsi"/>
          <w:szCs w:val="22"/>
        </w:rPr>
      </w:pPr>
      <w:r>
        <w:rPr>
          <w:rFonts w:cstheme="minorHAnsi"/>
          <w:szCs w:val="22"/>
        </w:rPr>
        <w:t>des</w:t>
      </w:r>
      <w:r w:rsidR="00FB35EE">
        <w:rPr>
          <w:rFonts w:cstheme="minorHAnsi"/>
          <w:szCs w:val="22"/>
        </w:rPr>
        <w:t xml:space="preserve">cription of the reviews and evaluations and the key </w:t>
      </w:r>
      <w:r w:rsidR="00C15C4C" w:rsidRPr="00151FAA">
        <w:rPr>
          <w:rFonts w:cstheme="minorHAnsi"/>
          <w:szCs w:val="22"/>
        </w:rPr>
        <w:t xml:space="preserve">evaluation questions, </w:t>
      </w:r>
    </w:p>
    <w:p w14:paraId="51DF9F4D" w14:textId="01F359E9" w:rsidR="00D379D8" w:rsidRPr="004034E8" w:rsidRDefault="004034E8" w:rsidP="009A0122">
      <w:pPr>
        <w:pStyle w:val="ListParagraph"/>
        <w:numPr>
          <w:ilvl w:val="0"/>
          <w:numId w:val="16"/>
        </w:numPr>
        <w:spacing w:after="120" w:line="259" w:lineRule="auto"/>
        <w:rPr>
          <w:rFonts w:cstheme="minorHAnsi"/>
          <w:szCs w:val="22"/>
        </w:rPr>
      </w:pPr>
      <w:r>
        <w:rPr>
          <w:rFonts w:cstheme="minorHAnsi"/>
          <w:szCs w:val="22"/>
        </w:rPr>
        <w:t xml:space="preserve">across </w:t>
      </w:r>
      <w:r w:rsidR="009A0122" w:rsidRPr="004034E8">
        <w:rPr>
          <w:rFonts w:cstheme="minorHAnsi"/>
          <w:szCs w:val="22"/>
        </w:rPr>
        <w:t>all relevant indicators</w:t>
      </w:r>
      <w:r>
        <w:rPr>
          <w:rFonts w:cstheme="minorHAnsi"/>
          <w:szCs w:val="22"/>
        </w:rPr>
        <w:t xml:space="preserve">, </w:t>
      </w:r>
      <w:r w:rsidR="009A0122" w:rsidRPr="004034E8">
        <w:rPr>
          <w:rFonts w:cstheme="minorHAnsi"/>
          <w:szCs w:val="22"/>
        </w:rPr>
        <w:t>aggregate</w:t>
      </w:r>
      <w:r>
        <w:rPr>
          <w:rFonts w:cstheme="minorHAnsi"/>
          <w:szCs w:val="22"/>
        </w:rPr>
        <w:t xml:space="preserve"> </w:t>
      </w:r>
      <w:r w:rsidR="009A0122" w:rsidRPr="004034E8">
        <w:rPr>
          <w:rFonts w:cstheme="minorHAnsi"/>
          <w:szCs w:val="22"/>
        </w:rPr>
        <w:t>by sex, disability status and other relevant aspects of social inclusion</w:t>
      </w:r>
      <w:r>
        <w:rPr>
          <w:rFonts w:cstheme="minorHAnsi"/>
          <w:szCs w:val="22"/>
        </w:rPr>
        <w:t>,</w:t>
      </w:r>
    </w:p>
    <w:p w14:paraId="297A8F66" w14:textId="4ECD8158" w:rsidR="00D379D8" w:rsidRDefault="00C15C4C">
      <w:pPr>
        <w:pStyle w:val="ListParagraph"/>
        <w:numPr>
          <w:ilvl w:val="0"/>
          <w:numId w:val="16"/>
        </w:numPr>
        <w:spacing w:after="120" w:line="259" w:lineRule="auto"/>
        <w:rPr>
          <w:rFonts w:cstheme="minorHAnsi"/>
          <w:szCs w:val="22"/>
        </w:rPr>
      </w:pPr>
      <w:r w:rsidRPr="00151FAA">
        <w:rPr>
          <w:rFonts w:cstheme="minorHAnsi"/>
          <w:szCs w:val="22"/>
        </w:rPr>
        <w:t>approaches to</w:t>
      </w:r>
      <w:r w:rsidR="00D379D8">
        <w:rPr>
          <w:rFonts w:cstheme="minorHAnsi"/>
          <w:szCs w:val="22"/>
        </w:rPr>
        <w:t xml:space="preserve"> program</w:t>
      </w:r>
      <w:r w:rsidRPr="00151FAA">
        <w:rPr>
          <w:rFonts w:cstheme="minorHAnsi"/>
          <w:szCs w:val="22"/>
        </w:rPr>
        <w:t xml:space="preserve"> learning</w:t>
      </w:r>
      <w:r w:rsidR="00D379D8">
        <w:rPr>
          <w:rFonts w:cstheme="minorHAnsi"/>
          <w:szCs w:val="22"/>
        </w:rPr>
        <w:t xml:space="preserve"> and adapt</w:t>
      </w:r>
      <w:r w:rsidR="002B717C">
        <w:rPr>
          <w:rFonts w:cstheme="minorHAnsi"/>
          <w:szCs w:val="22"/>
        </w:rPr>
        <w:t>at</w:t>
      </w:r>
      <w:r w:rsidR="00D379D8">
        <w:rPr>
          <w:rFonts w:cstheme="minorHAnsi"/>
          <w:szCs w:val="22"/>
        </w:rPr>
        <w:t>ion</w:t>
      </w:r>
      <w:r w:rsidR="00B11E93">
        <w:rPr>
          <w:rFonts w:cstheme="minorHAnsi"/>
          <w:szCs w:val="22"/>
        </w:rPr>
        <w:t>, and</w:t>
      </w:r>
      <w:r w:rsidRPr="00151FAA">
        <w:rPr>
          <w:rFonts w:cstheme="minorHAnsi"/>
          <w:szCs w:val="22"/>
        </w:rPr>
        <w:t xml:space="preserve"> </w:t>
      </w:r>
    </w:p>
    <w:p w14:paraId="5CD0C619" w14:textId="1A12364C" w:rsidR="00EE2A91" w:rsidRDefault="007F2777" w:rsidP="00EE2A91">
      <w:pPr>
        <w:pStyle w:val="ListParagraph"/>
        <w:numPr>
          <w:ilvl w:val="0"/>
          <w:numId w:val="16"/>
        </w:numPr>
        <w:spacing w:after="120" w:line="259" w:lineRule="auto"/>
        <w:rPr>
          <w:rFonts w:cstheme="minorHAnsi"/>
          <w:szCs w:val="22"/>
        </w:rPr>
      </w:pPr>
      <w:r w:rsidRPr="00151FAA">
        <w:rPr>
          <w:rFonts w:cstheme="minorHAnsi"/>
          <w:szCs w:val="22"/>
        </w:rPr>
        <w:t>resour</w:t>
      </w:r>
      <w:r>
        <w:rPr>
          <w:rFonts w:cstheme="minorHAnsi"/>
          <w:szCs w:val="22"/>
        </w:rPr>
        <w:t>ces that</w:t>
      </w:r>
      <w:r w:rsidRPr="00151FAA">
        <w:rPr>
          <w:rFonts w:cstheme="minorHAnsi"/>
          <w:szCs w:val="22"/>
        </w:rPr>
        <w:t xml:space="preserve"> will be committed to MEL</w:t>
      </w:r>
      <w:r>
        <w:rPr>
          <w:rFonts w:cstheme="minorHAnsi"/>
          <w:szCs w:val="22"/>
        </w:rPr>
        <w:t xml:space="preserve"> with the design budget including MEL budget by year</w:t>
      </w:r>
      <w:r w:rsidR="00B11E93">
        <w:rPr>
          <w:rFonts w:cstheme="minorHAnsi"/>
          <w:szCs w:val="22"/>
        </w:rPr>
        <w:t>.</w:t>
      </w:r>
    </w:p>
    <w:p w14:paraId="239BC832" w14:textId="1CC61D2C" w:rsidR="00867168" w:rsidRPr="00867168" w:rsidRDefault="00867168" w:rsidP="005F3D62">
      <w:pPr>
        <w:spacing w:after="120" w:line="259" w:lineRule="auto"/>
        <w:rPr>
          <w:rFonts w:cstheme="minorHAnsi"/>
          <w:szCs w:val="22"/>
        </w:rPr>
      </w:pPr>
      <w:r>
        <w:rPr>
          <w:rFonts w:cstheme="minorBidi"/>
        </w:rPr>
        <w:t>Note a</w:t>
      </w:r>
      <w:r w:rsidRPr="3141B229">
        <w:rPr>
          <w:rFonts w:cstheme="minorBidi"/>
        </w:rPr>
        <w:t xml:space="preserve"> full MEL Plan </w:t>
      </w:r>
      <w:r>
        <w:rPr>
          <w:rFonts w:cstheme="minorBidi"/>
        </w:rPr>
        <w:t xml:space="preserve">that </w:t>
      </w:r>
      <w:r w:rsidRPr="3141B229">
        <w:rPr>
          <w:rFonts w:cstheme="minorBidi"/>
        </w:rPr>
        <w:t>provides description of how the MEL system for the proposed activities will be implemented must be submitted within 6 months of the program design –</w:t>
      </w:r>
      <w:r>
        <w:rPr>
          <w:rFonts w:cstheme="minorBidi"/>
        </w:rPr>
        <w:t xml:space="preserve"> Annex 3 provides guidance on </w:t>
      </w:r>
      <w:r w:rsidRPr="3141B229">
        <w:rPr>
          <w:rFonts w:cstheme="minorBidi"/>
        </w:rPr>
        <w:t>preparing a</w:t>
      </w:r>
      <w:r>
        <w:rPr>
          <w:rFonts w:cstheme="minorBidi"/>
        </w:rPr>
        <w:t xml:space="preserve"> partner</w:t>
      </w:r>
      <w:r w:rsidRPr="3141B229">
        <w:rPr>
          <w:rFonts w:cstheme="minorBidi"/>
        </w:rPr>
        <w:t xml:space="preserve"> MEL Plan.</w:t>
      </w:r>
    </w:p>
    <w:p w14:paraId="2A7A7EFA" w14:textId="0FC4A72C" w:rsidR="003E63EA" w:rsidRPr="004875C2" w:rsidRDefault="004349FE" w:rsidP="00EC2C0F">
      <w:pPr>
        <w:pStyle w:val="Heading5"/>
      </w:pPr>
      <w:r>
        <w:t xml:space="preserve">Cross </w:t>
      </w:r>
      <w:r w:rsidR="754917B5">
        <w:t>c</w:t>
      </w:r>
      <w:r>
        <w:t xml:space="preserve">utting priorities and </w:t>
      </w:r>
      <w:r w:rsidR="0378BA04">
        <w:t xml:space="preserve">monitoring, </w:t>
      </w:r>
      <w:r w:rsidR="001545B5">
        <w:t>evaluation,</w:t>
      </w:r>
      <w:r w:rsidR="0378BA04">
        <w:t xml:space="preserve"> and lear</w:t>
      </w:r>
      <w:r w:rsidR="00212BE0">
        <w:t>ning</w:t>
      </w:r>
      <w:r w:rsidR="4FD2DABD">
        <w:t xml:space="preserve"> </w:t>
      </w:r>
      <w:r w:rsidR="009D111A">
        <w:t xml:space="preserve">in the </w:t>
      </w:r>
      <w:r w:rsidR="00A95574">
        <w:t>design.</w:t>
      </w:r>
    </w:p>
    <w:p w14:paraId="1697140E" w14:textId="460E39B0" w:rsidR="5FCC1866" w:rsidRPr="00B847C7" w:rsidRDefault="032B192B" w:rsidP="00A909F2">
      <w:pPr>
        <w:pStyle w:val="Checkboxemptybulletpoint"/>
        <w:rPr>
          <w:rStyle w:val="IntenseReference"/>
          <w:rFonts w:ascii="Calibri Light" w:hAnsi="Calibri Light" w:cs="Calibri Light"/>
          <w:b w:val="0"/>
          <w:bCs w:val="0"/>
          <w:smallCaps w:val="0"/>
          <w:color w:val="313E48" w:themeColor="text1"/>
          <w:lang w:val="en-US"/>
        </w:rPr>
      </w:pPr>
      <w:r w:rsidRPr="48035F03">
        <w:rPr>
          <w:rFonts w:ascii="Calibri Light" w:hAnsi="Calibri Light" w:cs="Calibri Light"/>
        </w:rPr>
        <w:t xml:space="preserve">The partner program logic </w:t>
      </w:r>
      <w:r w:rsidR="78CBE67B" w:rsidRPr="48035F03">
        <w:rPr>
          <w:rStyle w:val="IntenseReference"/>
          <w:rFonts w:cstheme="minorBidi"/>
          <w:b w:val="0"/>
          <w:bCs w:val="0"/>
          <w:smallCaps w:val="0"/>
          <w:color w:val="313D47"/>
        </w:rPr>
        <w:t xml:space="preserve">should </w:t>
      </w:r>
      <w:r w:rsidR="7C4C98B5" w:rsidRPr="48035F03">
        <w:rPr>
          <w:rStyle w:val="IntenseReference"/>
          <w:rFonts w:cstheme="minorBidi"/>
          <w:b w:val="0"/>
          <w:bCs w:val="0"/>
          <w:smallCaps w:val="0"/>
          <w:color w:val="313D47"/>
        </w:rPr>
        <w:t>include outcomes</w:t>
      </w:r>
      <w:r w:rsidR="06480A4D" w:rsidRPr="48035F03">
        <w:rPr>
          <w:rStyle w:val="IntenseReference"/>
          <w:rFonts w:cstheme="minorBidi"/>
          <w:b w:val="0"/>
          <w:bCs w:val="0"/>
          <w:smallCaps w:val="0"/>
          <w:color w:val="313D47"/>
        </w:rPr>
        <w:t xml:space="preserve"> specific to</w:t>
      </w:r>
      <w:r w:rsidR="4B54016A" w:rsidRPr="48035F03">
        <w:rPr>
          <w:rStyle w:val="IntenseReference"/>
          <w:rFonts w:cstheme="minorBidi"/>
          <w:b w:val="0"/>
          <w:bCs w:val="0"/>
          <w:smallCaps w:val="0"/>
          <w:color w:val="313D47"/>
        </w:rPr>
        <w:t xml:space="preserve"> </w:t>
      </w:r>
      <w:r w:rsidR="7A5BC279" w:rsidRPr="48035F03">
        <w:rPr>
          <w:rStyle w:val="IntenseReference"/>
          <w:rFonts w:cstheme="minorBidi"/>
          <w:b w:val="0"/>
          <w:bCs w:val="0"/>
          <w:smallCaps w:val="0"/>
          <w:color w:val="313D47"/>
        </w:rPr>
        <w:t>gender equality, disability equity and social inclusion (GEDSI) and be</w:t>
      </w:r>
      <w:r w:rsidR="001407DF">
        <w:rPr>
          <w:rStyle w:val="IntenseReference"/>
          <w:rFonts w:cstheme="minorBidi"/>
          <w:b w:val="0"/>
          <w:bCs w:val="0"/>
          <w:smallCaps w:val="0"/>
          <w:color w:val="313D47"/>
        </w:rPr>
        <w:t xml:space="preserve"> </w:t>
      </w:r>
      <w:r w:rsidR="7A5BC279" w:rsidRPr="48035F03">
        <w:rPr>
          <w:rStyle w:val="IntenseReference"/>
          <w:rFonts w:cstheme="minorBidi"/>
          <w:b w:val="0"/>
          <w:bCs w:val="0"/>
          <w:smallCaps w:val="0"/>
          <w:color w:val="313D47"/>
        </w:rPr>
        <w:t xml:space="preserve">designed to measure </w:t>
      </w:r>
      <w:r w:rsidR="55136145" w:rsidRPr="48035F03">
        <w:rPr>
          <w:rStyle w:val="IntenseReference"/>
          <w:rFonts w:cstheme="minorBidi"/>
          <w:b w:val="0"/>
          <w:bCs w:val="0"/>
          <w:smallCaps w:val="0"/>
          <w:color w:val="313D47"/>
        </w:rPr>
        <w:t>ou</w:t>
      </w:r>
      <w:r w:rsidR="25872C55" w:rsidRPr="48035F03">
        <w:rPr>
          <w:rStyle w:val="IntenseReference"/>
          <w:rFonts w:cstheme="minorBidi"/>
          <w:b w:val="0"/>
          <w:bCs w:val="0"/>
          <w:smallCaps w:val="0"/>
          <w:color w:val="313D47"/>
        </w:rPr>
        <w:t>t</w:t>
      </w:r>
      <w:r w:rsidR="55136145" w:rsidRPr="48035F03">
        <w:rPr>
          <w:rStyle w:val="IntenseReference"/>
          <w:rFonts w:cstheme="minorBidi"/>
          <w:b w:val="0"/>
          <w:bCs w:val="0"/>
          <w:smallCaps w:val="0"/>
          <w:color w:val="313D47"/>
        </w:rPr>
        <w:t>comes</w:t>
      </w:r>
      <w:r w:rsidR="7A5BC279" w:rsidRPr="48035F03">
        <w:rPr>
          <w:rStyle w:val="IntenseReference"/>
          <w:rFonts w:cstheme="minorBidi"/>
          <w:b w:val="0"/>
          <w:bCs w:val="0"/>
          <w:smallCaps w:val="0"/>
          <w:color w:val="313D47"/>
        </w:rPr>
        <w:t xml:space="preserve"> </w:t>
      </w:r>
      <w:r w:rsidR="76278490" w:rsidRPr="48035F03">
        <w:rPr>
          <w:rStyle w:val="IntenseReference"/>
          <w:rFonts w:cstheme="minorBidi"/>
          <w:b w:val="0"/>
          <w:bCs w:val="0"/>
          <w:smallCaps w:val="0"/>
          <w:color w:val="313D47"/>
        </w:rPr>
        <w:t xml:space="preserve">that </w:t>
      </w:r>
      <w:r w:rsidR="71C7D5C8" w:rsidRPr="48035F03">
        <w:rPr>
          <w:rStyle w:val="IntenseReference"/>
          <w:rFonts w:cstheme="minorBidi"/>
          <w:b w:val="0"/>
          <w:bCs w:val="0"/>
          <w:smallCaps w:val="0"/>
          <w:color w:val="313D47"/>
        </w:rPr>
        <w:t xml:space="preserve">relate to </w:t>
      </w:r>
      <w:r w:rsidR="76278490" w:rsidRPr="48035F03">
        <w:rPr>
          <w:rStyle w:val="IntenseReference"/>
          <w:rFonts w:cstheme="minorBidi"/>
          <w:b w:val="0"/>
          <w:bCs w:val="0"/>
          <w:smallCaps w:val="0"/>
          <w:color w:val="313D47"/>
        </w:rPr>
        <w:t xml:space="preserve">social change and improved equity for </w:t>
      </w:r>
      <w:r w:rsidR="76278490" w:rsidRPr="001407DF">
        <w:rPr>
          <w:rStyle w:val="IntenseReference"/>
          <w:rFonts w:cstheme="minorBidi"/>
          <w:b w:val="0"/>
          <w:bCs w:val="0"/>
          <w:smallCaps w:val="0"/>
          <w:color w:val="313D47"/>
        </w:rPr>
        <w:t>populations and groups who experience health disparities</w:t>
      </w:r>
      <w:r w:rsidR="68DB9A69" w:rsidRPr="48035F03">
        <w:rPr>
          <w:rStyle w:val="IntenseReference"/>
          <w:rFonts w:cstheme="minorBidi"/>
          <w:b w:val="0"/>
          <w:bCs w:val="0"/>
          <w:smallCaps w:val="0"/>
          <w:color w:val="313D47"/>
        </w:rPr>
        <w:t>, including women</w:t>
      </w:r>
      <w:r w:rsidR="58877A46" w:rsidRPr="48035F03">
        <w:rPr>
          <w:rStyle w:val="IntenseReference"/>
          <w:rFonts w:cstheme="minorBidi"/>
          <w:b w:val="0"/>
          <w:bCs w:val="0"/>
          <w:smallCaps w:val="0"/>
          <w:color w:val="313D47"/>
        </w:rPr>
        <w:t xml:space="preserve"> and girls in all their </w:t>
      </w:r>
      <w:r w:rsidR="001407DF" w:rsidRPr="48035F03">
        <w:rPr>
          <w:rStyle w:val="IntenseReference"/>
          <w:rFonts w:cstheme="minorBidi"/>
          <w:b w:val="0"/>
          <w:bCs w:val="0"/>
          <w:smallCaps w:val="0"/>
          <w:color w:val="313D47"/>
        </w:rPr>
        <w:t>diversity</w:t>
      </w:r>
      <w:r w:rsidR="68DB9A69" w:rsidRPr="48035F03">
        <w:rPr>
          <w:rStyle w:val="IntenseReference"/>
          <w:rFonts w:cstheme="minorBidi"/>
          <w:b w:val="0"/>
          <w:bCs w:val="0"/>
          <w:smallCaps w:val="0"/>
          <w:color w:val="313D47"/>
        </w:rPr>
        <w:t xml:space="preserve"> and people with </w:t>
      </w:r>
      <w:r w:rsidR="75E9742A" w:rsidRPr="48035F03">
        <w:rPr>
          <w:rStyle w:val="IntenseReference"/>
          <w:rFonts w:cstheme="minorBidi"/>
          <w:b w:val="0"/>
          <w:bCs w:val="0"/>
          <w:smallCaps w:val="0"/>
          <w:color w:val="313D47"/>
        </w:rPr>
        <w:t>disabilities</w:t>
      </w:r>
      <w:r w:rsidR="2337F039" w:rsidRPr="48035F03">
        <w:rPr>
          <w:rStyle w:val="IntenseReference"/>
          <w:rFonts w:cstheme="minorBidi"/>
          <w:b w:val="0"/>
          <w:bCs w:val="0"/>
          <w:smallCaps w:val="0"/>
          <w:color w:val="313D47"/>
          <w:lang w:val="en-US"/>
        </w:rPr>
        <w:t xml:space="preserve"> </w:t>
      </w:r>
      <w:r w:rsidR="690065F2" w:rsidRPr="48035F03">
        <w:rPr>
          <w:rStyle w:val="IntenseReference"/>
          <w:rFonts w:ascii="Calibri Light" w:hAnsi="Calibri Light" w:cs="Calibri Light"/>
          <w:b w:val="0"/>
          <w:bCs w:val="0"/>
          <w:smallCaps w:val="0"/>
          <w:color w:val="313D47"/>
          <w:lang w:val="en-US"/>
        </w:rPr>
        <w:t>I</w:t>
      </w:r>
      <w:r w:rsidR="4C4171C0" w:rsidRPr="48035F03">
        <w:rPr>
          <w:rStyle w:val="IntenseReference"/>
          <w:rFonts w:ascii="Calibri Light" w:hAnsi="Calibri Light" w:cs="Calibri Light"/>
          <w:b w:val="0"/>
          <w:bCs w:val="0"/>
          <w:smallCaps w:val="0"/>
          <w:color w:val="313D47"/>
          <w:lang w:val="en-US"/>
        </w:rPr>
        <w:t xml:space="preserve">n addition, </w:t>
      </w:r>
      <w:r w:rsidR="4982B58A" w:rsidRPr="48035F03">
        <w:rPr>
          <w:rStyle w:val="IntenseReference"/>
          <w:rFonts w:ascii="Calibri Light" w:hAnsi="Calibri Light" w:cs="Calibri Light"/>
          <w:b w:val="0"/>
          <w:bCs w:val="0"/>
          <w:smallCaps w:val="0"/>
          <w:color w:val="313D47"/>
          <w:lang w:val="en-US"/>
        </w:rPr>
        <w:t>as</w:t>
      </w:r>
      <w:r w:rsidR="4C4171C0" w:rsidRPr="48035F03">
        <w:rPr>
          <w:rStyle w:val="IntenseReference"/>
          <w:rFonts w:ascii="Calibri Light" w:hAnsi="Calibri Light" w:cs="Calibri Light"/>
          <w:b w:val="0"/>
          <w:bCs w:val="0"/>
          <w:smallCaps w:val="0"/>
          <w:color w:val="313D47"/>
          <w:lang w:val="en-US"/>
        </w:rPr>
        <w:t xml:space="preserve"> </w:t>
      </w:r>
      <w:r w:rsidR="69FB83DD" w:rsidRPr="48035F03">
        <w:rPr>
          <w:rStyle w:val="IntenseReference"/>
          <w:rFonts w:ascii="Calibri Light" w:hAnsi="Calibri Light" w:cs="Calibri Light"/>
          <w:b w:val="0"/>
          <w:bCs w:val="0"/>
          <w:smallCaps w:val="0"/>
          <w:color w:val="313D47"/>
          <w:lang w:val="en-US"/>
        </w:rPr>
        <w:t>relev</w:t>
      </w:r>
      <w:r w:rsidR="67A23C0A" w:rsidRPr="48035F03">
        <w:rPr>
          <w:rStyle w:val="IntenseReference"/>
          <w:rFonts w:ascii="Calibri Light" w:hAnsi="Calibri Light" w:cs="Calibri Light"/>
          <w:b w:val="0"/>
          <w:bCs w:val="0"/>
          <w:smallCaps w:val="0"/>
          <w:color w:val="313D47"/>
          <w:lang w:val="en-US"/>
        </w:rPr>
        <w:t>a</w:t>
      </w:r>
      <w:r w:rsidR="69FB83DD" w:rsidRPr="48035F03">
        <w:rPr>
          <w:rStyle w:val="IntenseReference"/>
          <w:rFonts w:ascii="Calibri Light" w:hAnsi="Calibri Light" w:cs="Calibri Light"/>
          <w:b w:val="0"/>
          <w:bCs w:val="0"/>
          <w:smallCaps w:val="0"/>
          <w:color w:val="313D47"/>
          <w:lang w:val="en-US"/>
        </w:rPr>
        <w:t xml:space="preserve">nt, </w:t>
      </w:r>
      <w:r w:rsidR="06E050E9" w:rsidRPr="48035F03">
        <w:rPr>
          <w:rStyle w:val="IntenseReference"/>
          <w:rFonts w:ascii="Calibri Light" w:hAnsi="Calibri Light" w:cs="Calibri Light"/>
          <w:b w:val="0"/>
          <w:bCs w:val="0"/>
          <w:smallCaps w:val="0"/>
          <w:color w:val="313D47"/>
          <w:lang w:val="en-US"/>
        </w:rPr>
        <w:t>partners should</w:t>
      </w:r>
      <w:r w:rsidR="4C4171C0" w:rsidRPr="48035F03">
        <w:rPr>
          <w:rStyle w:val="IntenseReference"/>
          <w:rFonts w:ascii="Calibri Light" w:hAnsi="Calibri Light" w:cs="Calibri Light"/>
          <w:b w:val="0"/>
          <w:bCs w:val="0"/>
          <w:smallCaps w:val="0"/>
          <w:color w:val="313D47"/>
          <w:lang w:val="en-US"/>
        </w:rPr>
        <w:t xml:space="preserve"> </w:t>
      </w:r>
      <w:r w:rsidR="6BF62B4A" w:rsidRPr="48035F03">
        <w:rPr>
          <w:rStyle w:val="IntenseReference"/>
          <w:rFonts w:ascii="Calibri Light" w:hAnsi="Calibri Light" w:cs="Calibri Light"/>
          <w:b w:val="0"/>
          <w:bCs w:val="0"/>
          <w:smallCaps w:val="0"/>
          <w:color w:val="313D47"/>
          <w:lang w:val="en-US"/>
        </w:rPr>
        <w:lastRenderedPageBreak/>
        <w:t>i</w:t>
      </w:r>
      <w:r w:rsidR="6B7926DD" w:rsidRPr="48035F03">
        <w:rPr>
          <w:lang w:val="en-US"/>
        </w:rPr>
        <w:t>ntegrat</w:t>
      </w:r>
      <w:r w:rsidR="33CB3422" w:rsidRPr="48035F03">
        <w:rPr>
          <w:lang w:val="en-US"/>
        </w:rPr>
        <w:t>e</w:t>
      </w:r>
      <w:r w:rsidR="33CB3422" w:rsidRPr="48035F03">
        <w:rPr>
          <w:b/>
          <w:bCs/>
          <w:lang w:val="en-US"/>
        </w:rPr>
        <w:t xml:space="preserve"> </w:t>
      </w:r>
      <w:r w:rsidR="4F3DB77D" w:rsidRPr="001407DF">
        <w:rPr>
          <w:lang w:val="en-US"/>
        </w:rPr>
        <w:t xml:space="preserve">engagement of </w:t>
      </w:r>
      <w:r w:rsidR="76054468" w:rsidRPr="001407DF">
        <w:rPr>
          <w:lang w:val="en-US"/>
        </w:rPr>
        <w:t xml:space="preserve">First Nations </w:t>
      </w:r>
      <w:r w:rsidR="47E256F6" w:rsidRPr="001407DF">
        <w:rPr>
          <w:lang w:val="en-US"/>
        </w:rPr>
        <w:t>Australian</w:t>
      </w:r>
      <w:r w:rsidR="40A7424D" w:rsidRPr="001407DF">
        <w:rPr>
          <w:lang w:val="en-US"/>
        </w:rPr>
        <w:t>s</w:t>
      </w:r>
      <w:r w:rsidR="76054468" w:rsidRPr="48035F03">
        <w:rPr>
          <w:b/>
          <w:bCs/>
          <w:lang w:val="en-US"/>
        </w:rPr>
        <w:t>,</w:t>
      </w:r>
      <w:r w:rsidR="76054468" w:rsidRPr="001407DF">
        <w:rPr>
          <w:lang w:val="en-US"/>
        </w:rPr>
        <w:t xml:space="preserve"> </w:t>
      </w:r>
      <w:r w:rsidR="2D50077D" w:rsidRPr="001407DF">
        <w:rPr>
          <w:lang w:val="en-US"/>
        </w:rPr>
        <w:t>climate</w:t>
      </w:r>
      <w:r w:rsidR="1605649E" w:rsidRPr="001407DF">
        <w:rPr>
          <w:lang w:val="en-US"/>
        </w:rPr>
        <w:t xml:space="preserve"> </w:t>
      </w:r>
      <w:r w:rsidR="2D50077D" w:rsidRPr="001407DF">
        <w:rPr>
          <w:lang w:val="en-US"/>
        </w:rPr>
        <w:t xml:space="preserve">resilience </w:t>
      </w:r>
      <w:r w:rsidR="1CE24F9B" w:rsidRPr="001407DF">
        <w:rPr>
          <w:lang w:val="en-US"/>
        </w:rPr>
        <w:t xml:space="preserve">and </w:t>
      </w:r>
      <w:r w:rsidR="2D50077D" w:rsidRPr="001407DF">
        <w:rPr>
          <w:lang w:val="en-US"/>
        </w:rPr>
        <w:t>One Health</w:t>
      </w:r>
      <w:r w:rsidR="2A1F9776" w:rsidRPr="001407DF">
        <w:rPr>
          <w:lang w:val="en-US"/>
        </w:rPr>
        <w:t xml:space="preserve"> </w:t>
      </w:r>
      <w:r w:rsidR="6B7926DD" w:rsidRPr="48035F03">
        <w:rPr>
          <w:lang w:val="en-US"/>
        </w:rPr>
        <w:t>within program design</w:t>
      </w:r>
      <w:r w:rsidR="4B8B1CA2" w:rsidRPr="48035F03">
        <w:rPr>
          <w:lang w:val="en-US"/>
        </w:rPr>
        <w:t xml:space="preserve"> </w:t>
      </w:r>
      <w:r w:rsidR="1FF20358" w:rsidRPr="48035F03">
        <w:rPr>
          <w:lang w:val="en-US"/>
        </w:rPr>
        <w:t xml:space="preserve">and MEL </w:t>
      </w:r>
      <w:r w:rsidR="4B8B1CA2" w:rsidRPr="48035F03">
        <w:rPr>
          <w:lang w:val="en-US"/>
        </w:rPr>
        <w:t>– this may be at outcome level or elsewhere</w:t>
      </w:r>
      <w:r w:rsidR="736566FC" w:rsidRPr="48035F03">
        <w:rPr>
          <w:b/>
          <w:bCs/>
          <w:lang w:val="en-US"/>
        </w:rPr>
        <w:t xml:space="preserve">. </w:t>
      </w:r>
    </w:p>
    <w:p w14:paraId="1A8C2C3B" w14:textId="2AC7F8F8" w:rsidR="5FCC1866" w:rsidRPr="00B847C7" w:rsidRDefault="1605649E" w:rsidP="00A909F2">
      <w:pPr>
        <w:pStyle w:val="Checkboxemptybulletpoint"/>
        <w:rPr>
          <w:rStyle w:val="IntenseReference"/>
          <w:rFonts w:ascii="Calibri Light" w:hAnsi="Calibri Light" w:cs="Calibri Light"/>
          <w:b w:val="0"/>
          <w:bCs w:val="0"/>
          <w:smallCaps w:val="0"/>
          <w:color w:val="313E48" w:themeColor="text1"/>
          <w:lang w:val="en-US"/>
        </w:rPr>
      </w:pPr>
      <w:r w:rsidRPr="48035F03">
        <w:rPr>
          <w:lang w:val="en-US"/>
        </w:rPr>
        <w:t xml:space="preserve">For MEL purposes, </w:t>
      </w:r>
      <w:r w:rsidR="0389C302" w:rsidRPr="48035F03">
        <w:rPr>
          <w:lang w:val="en-US"/>
        </w:rPr>
        <w:t>measuring how outcomes reflect the cross-cutting priorities should</w:t>
      </w:r>
      <w:r w:rsidR="775422E8" w:rsidRPr="48035F03">
        <w:rPr>
          <w:lang w:val="en-US"/>
        </w:rPr>
        <w:t xml:space="preserve"> be </w:t>
      </w:r>
      <w:r w:rsidR="4E7AF059" w:rsidRPr="48035F03">
        <w:rPr>
          <w:lang w:val="en-US"/>
        </w:rPr>
        <w:t xml:space="preserve">included </w:t>
      </w:r>
      <w:r w:rsidR="6B7926DD" w:rsidRPr="48035F03">
        <w:rPr>
          <w:lang w:val="en-US"/>
        </w:rPr>
        <w:t xml:space="preserve">as part of </w:t>
      </w:r>
      <w:r w:rsidRPr="48035F03">
        <w:rPr>
          <w:lang w:val="en-US"/>
        </w:rPr>
        <w:t>indicators, evaluation questions and learning processes</w:t>
      </w:r>
      <w:r w:rsidR="2952F248" w:rsidRPr="48035F03">
        <w:rPr>
          <w:lang w:val="en-US"/>
        </w:rPr>
        <w:t xml:space="preserve">. </w:t>
      </w:r>
      <w:r w:rsidR="4B8B1CA2" w:rsidRPr="48035F03">
        <w:rPr>
          <w:lang w:val="en-US"/>
        </w:rPr>
        <w:t xml:space="preserve">This will enable programs to leverage higher level commitments to </w:t>
      </w:r>
      <w:r w:rsidR="025523CE" w:rsidRPr="48035F03">
        <w:rPr>
          <w:lang w:val="en-US"/>
        </w:rPr>
        <w:t>GEDSI</w:t>
      </w:r>
      <w:r w:rsidR="4B8B1CA2" w:rsidRPr="48035F03">
        <w:rPr>
          <w:lang w:val="en-US"/>
        </w:rPr>
        <w:t>, climate resilience and One Health in practice.</w:t>
      </w:r>
    </w:p>
    <w:p w14:paraId="1C3CCA33" w14:textId="77777777" w:rsidR="00212BE0" w:rsidRPr="00A419EA" w:rsidRDefault="00212BE0" w:rsidP="00F3481F">
      <w:pPr>
        <w:pStyle w:val="Heading3"/>
      </w:pPr>
      <w:r w:rsidRPr="00A419EA">
        <w:t>Preparing for reporting</w:t>
      </w:r>
    </w:p>
    <w:p w14:paraId="04C20056" w14:textId="11A60CC8" w:rsidR="00EE0D56" w:rsidRPr="00FC1502" w:rsidRDefault="00212BE0" w:rsidP="4F21F66E">
      <w:pPr>
        <w:spacing w:after="120" w:line="259" w:lineRule="auto"/>
      </w:pPr>
      <w:r>
        <w:t xml:space="preserve">Progress reports from partners are a key component of DFAT’s performance management system. These allow DFAT to understand achievements, challenges, implementation progress, and program learning. Reports provide the basis for an ongoing dialogue about how individual programs and PHR can adapt for best results. </w:t>
      </w:r>
      <w:r w:rsidR="00867168">
        <w:t xml:space="preserve">Within the Standards, </w:t>
      </w:r>
      <w:r w:rsidRPr="21CC7526">
        <w:rPr>
          <w:i/>
          <w:iCs/>
        </w:rPr>
        <w:t>Standard 6: Program Progress Reports</w:t>
      </w:r>
      <w:r>
        <w:t xml:space="preserve"> provides information on what is expected. Applicants are encouraged to review this to inform planning and budgeting for reporting requirements. Progress reporting, for most partners will be through </w:t>
      </w:r>
      <w:r w:rsidR="21F01B30">
        <w:t xml:space="preserve">the </w:t>
      </w:r>
      <w:r>
        <w:t>Smarty Grants platform. DFAT will provide specific templates and guidance on using Smarty Grants</w:t>
      </w:r>
      <w:r w:rsidR="00C95ED5">
        <w:t xml:space="preserve"> to all partners.</w:t>
      </w:r>
    </w:p>
    <w:p w14:paraId="291F6510" w14:textId="01464496" w:rsidR="00DB0F15" w:rsidRDefault="38C148E1" w:rsidP="00A909F2">
      <w:pPr>
        <w:pStyle w:val="Heading2"/>
      </w:pPr>
      <w:r>
        <w:t>Additional Resources</w:t>
      </w:r>
    </w:p>
    <w:p w14:paraId="17AD7422" w14:textId="151A3856" w:rsidR="000F4A6A" w:rsidRPr="00945DB0" w:rsidRDefault="20BA368E" w:rsidP="00EC34CF">
      <w:pPr>
        <w:pStyle w:val="Listparagraph-bullets-secondlevel"/>
        <w:rPr>
          <w:rFonts w:eastAsiaTheme="minorEastAsia"/>
        </w:rPr>
      </w:pPr>
      <w:r>
        <w:t xml:space="preserve">The </w:t>
      </w:r>
      <w:r w:rsidRPr="26134177">
        <w:rPr>
          <w:b/>
          <w:bCs/>
          <w:color w:val="0A737B" w:themeColor="accent5" w:themeTint="E6"/>
          <w:u w:val="single"/>
        </w:rPr>
        <w:t>DFAT Design and Monitoring, Evaluation and Learning Standards</w:t>
      </w:r>
      <w:r>
        <w:t xml:space="preserve"> </w:t>
      </w:r>
      <w:r w:rsidR="00E24B69">
        <w:t xml:space="preserve">are designed to support the whole program cycle - from concept through to </w:t>
      </w:r>
      <w:r w:rsidR="00E24B69" w:rsidRPr="26134177">
        <w:rPr>
          <w:rFonts w:eastAsiaTheme="minorEastAsia"/>
        </w:rPr>
        <w:t xml:space="preserve">design and implementation including </w:t>
      </w:r>
      <w:r w:rsidR="00D25B10" w:rsidRPr="26134177">
        <w:rPr>
          <w:rFonts w:eastAsiaTheme="minorEastAsia"/>
        </w:rPr>
        <w:t>MEL</w:t>
      </w:r>
      <w:r w:rsidR="00A76FD3" w:rsidRPr="26134177">
        <w:rPr>
          <w:rFonts w:eastAsiaTheme="minorEastAsia"/>
        </w:rPr>
        <w:t xml:space="preserve"> and </w:t>
      </w:r>
      <w:r w:rsidR="00D25B10" w:rsidRPr="26134177">
        <w:rPr>
          <w:rFonts w:eastAsiaTheme="minorEastAsia"/>
        </w:rPr>
        <w:t xml:space="preserve">aims </w:t>
      </w:r>
      <w:r w:rsidR="00A76FD3" w:rsidRPr="26134177">
        <w:rPr>
          <w:rFonts w:eastAsiaTheme="minorEastAsia"/>
        </w:rPr>
        <w:t xml:space="preserve">to improve the </w:t>
      </w:r>
      <w:r w:rsidR="00A76FD3">
        <w:t xml:space="preserve">quality and use of </w:t>
      </w:r>
      <w:r w:rsidR="008364F3">
        <w:t>design</w:t>
      </w:r>
      <w:r w:rsidR="009C37E7">
        <w:t>, monitoring and evaluation</w:t>
      </w:r>
      <w:r w:rsidR="008364F3">
        <w:t xml:space="preserve"> products</w:t>
      </w:r>
      <w:r w:rsidR="009C37E7">
        <w:t xml:space="preserve">. </w:t>
      </w:r>
    </w:p>
    <w:p w14:paraId="4DD4EE37" w14:textId="2E7302AA" w:rsidR="00945DB0" w:rsidRPr="001377CC" w:rsidRDefault="00DB2068" w:rsidP="00EC34CF">
      <w:pPr>
        <w:pStyle w:val="Listparagraph-bullets-secondlevel"/>
        <w:rPr>
          <w:rFonts w:eastAsiaTheme="minorEastAsia"/>
        </w:rPr>
      </w:pPr>
      <w:hyperlink r:id="rId14">
        <w:r w:rsidR="00024C6B" w:rsidRPr="26134177">
          <w:rPr>
            <w:rStyle w:val="Hyperlink"/>
            <w:b/>
            <w:bCs/>
            <w:color w:val="00837C" w:themeColor="accent1"/>
          </w:rPr>
          <w:t>Ethical Research and Evaluation Guidance Note</w:t>
        </w:r>
      </w:hyperlink>
      <w:r w:rsidR="00024C6B">
        <w:t xml:space="preserve">  </w:t>
      </w:r>
      <w:r w:rsidR="001377CC">
        <w:fldChar w:fldCharType="begin"/>
      </w:r>
      <w:r w:rsidR="0092625B">
        <w:instrText>HYPERLINK "https://icnprod01.sharepoint.com/sites/CHCH-GHD-GlobalHealthDivision/Shared Documents/Partnerships for a Healthy Region Implementation/g) Monitoring Evaluation and Learning/PHR Partner support_MEL/Ethical Research and Evaluation Guidance Note (dfat.gov.au)"</w:instrText>
      </w:r>
      <w:r w:rsidR="001377CC">
        <w:fldChar w:fldCharType="separate"/>
      </w:r>
      <w:r w:rsidR="00C82251" w:rsidRPr="26134177">
        <w:rPr>
          <w:rFonts w:eastAsiaTheme="minorEastAsia"/>
        </w:rPr>
        <w:t>s</w:t>
      </w:r>
      <w:r w:rsidR="00C82251">
        <w:t>ets out the requirements for ethical practice in research and evaluation. It aligns and reinforces DFAT’s existing policies related to program management, conduct and risk management and safeguarding policies.</w:t>
      </w:r>
    </w:p>
    <w:p w14:paraId="6DA7020A" w14:textId="172A9587" w:rsidR="00867168" w:rsidRPr="00F21EC7" w:rsidRDefault="001377CC" w:rsidP="00EC34CF">
      <w:pPr>
        <w:pStyle w:val="Listparagraph-bullets-secondlevel"/>
        <w:rPr>
          <w:rStyle w:val="cf01"/>
          <w:rFonts w:asciiTheme="minorHAnsi" w:hAnsiTheme="minorHAnsi" w:cstheme="minorHAnsi"/>
          <w:sz w:val="22"/>
          <w:szCs w:val="22"/>
        </w:rPr>
      </w:pPr>
      <w:r>
        <w:fldChar w:fldCharType="end"/>
      </w:r>
      <w:hyperlink r:id="rId15" w:anchor=":~:text=The%20Gender%20Equality%20in%20Monitoring,to%20gender%20equality%20in%20reporting." w:history="1">
        <w:r w:rsidR="00867168" w:rsidRPr="005F3D62">
          <w:rPr>
            <w:rStyle w:val="Hyperlink"/>
            <w:b/>
            <w:bCs/>
            <w:color w:val="00837C" w:themeColor="accent1"/>
          </w:rPr>
          <w:t>Gender Equality in Monitoring and Evaluation Good Practice Note</w:t>
        </w:r>
      </w:hyperlink>
      <w:r w:rsidR="00F21EC7">
        <w:rPr>
          <w:rStyle w:val="Hyperlink"/>
          <w:b/>
          <w:bCs/>
          <w:color w:val="00837C" w:themeColor="accent1"/>
        </w:rPr>
        <w:t xml:space="preserve"> </w:t>
      </w:r>
      <w:r w:rsidR="00F21EC7" w:rsidRPr="005F3D62">
        <w:rPr>
          <w:rStyle w:val="cf01"/>
          <w:rFonts w:asciiTheme="minorHAnsi" w:hAnsiTheme="minorHAnsi" w:cstheme="minorHAnsi"/>
          <w:sz w:val="22"/>
          <w:szCs w:val="22"/>
        </w:rPr>
        <w:t>is</w:t>
      </w:r>
      <w:r w:rsidR="00867168" w:rsidRPr="00F21EC7">
        <w:rPr>
          <w:rStyle w:val="cf01"/>
          <w:rFonts w:asciiTheme="minorHAnsi" w:hAnsiTheme="minorHAnsi" w:cstheme="minorHAnsi"/>
          <w:sz w:val="22"/>
          <w:szCs w:val="22"/>
        </w:rPr>
        <w:t xml:space="preserve"> </w:t>
      </w:r>
      <w:r w:rsidR="00F21EC7">
        <w:rPr>
          <w:rStyle w:val="cf01"/>
          <w:rFonts w:asciiTheme="minorHAnsi" w:hAnsiTheme="minorHAnsi" w:cstheme="minorHAnsi"/>
          <w:sz w:val="22"/>
          <w:szCs w:val="22"/>
        </w:rPr>
        <w:t>a</w:t>
      </w:r>
      <w:r w:rsidR="00867168" w:rsidRPr="00F21EC7">
        <w:rPr>
          <w:rStyle w:val="cf01"/>
          <w:rFonts w:asciiTheme="minorHAnsi" w:hAnsiTheme="minorHAnsi" w:cstheme="minorHAnsi"/>
          <w:sz w:val="22"/>
          <w:szCs w:val="22"/>
        </w:rPr>
        <w:t xml:space="preserve">n operational resource to assist DFAT’s partners to integrate gender equality into monitoring, evaluation, and reporting. </w:t>
      </w:r>
    </w:p>
    <w:p w14:paraId="3380BDD7" w14:textId="0B54C67C" w:rsidR="00867168" w:rsidRPr="00F21EC7" w:rsidRDefault="00DB2068" w:rsidP="00EC34CF">
      <w:pPr>
        <w:pStyle w:val="Listparagraph-bullets-secondlevel"/>
        <w:rPr>
          <w:rStyle w:val="cf01"/>
          <w:rFonts w:asciiTheme="minorHAnsi" w:hAnsiTheme="minorHAnsi" w:cstheme="minorHAnsi"/>
          <w:sz w:val="22"/>
          <w:szCs w:val="22"/>
        </w:rPr>
      </w:pPr>
      <w:hyperlink r:id="rId16" w:history="1">
        <w:r w:rsidR="00867168" w:rsidRPr="005F3D62">
          <w:rPr>
            <w:rStyle w:val="Hyperlink"/>
            <w:b/>
            <w:bCs/>
            <w:color w:val="00837C" w:themeColor="accent1"/>
          </w:rPr>
          <w:t>Disability-Inclusive Development Guidance Note</w:t>
        </w:r>
      </w:hyperlink>
      <w:r w:rsidR="00F21EC7">
        <w:rPr>
          <w:rStyle w:val="Hyperlink"/>
          <w:b/>
          <w:bCs/>
          <w:color w:val="00837C" w:themeColor="accent1"/>
        </w:rPr>
        <w:t xml:space="preserve"> </w:t>
      </w:r>
      <w:r w:rsidR="00F21EC7">
        <w:rPr>
          <w:rStyle w:val="cf01"/>
          <w:rFonts w:asciiTheme="minorHAnsi" w:hAnsiTheme="minorHAnsi" w:cstheme="minorHAnsi"/>
          <w:sz w:val="22"/>
          <w:szCs w:val="22"/>
        </w:rPr>
        <w:t>o</w:t>
      </w:r>
      <w:r w:rsidR="00867168" w:rsidRPr="00F21EC7">
        <w:rPr>
          <w:rStyle w:val="cf01"/>
          <w:rFonts w:asciiTheme="minorHAnsi" w:hAnsiTheme="minorHAnsi" w:cstheme="minorHAnsi"/>
          <w:sz w:val="22"/>
          <w:szCs w:val="22"/>
        </w:rPr>
        <w:t>utlines DFAT’s approach to disability-inclusive development and identifies main entry points for disability inclusion.</w:t>
      </w:r>
    </w:p>
    <w:p w14:paraId="5F2A0745" w14:textId="1402695D" w:rsidR="00285A22" w:rsidRDefault="00867168" w:rsidP="00EC34CF">
      <w:pPr>
        <w:pStyle w:val="Listparagraph-bullets-secondlevel"/>
      </w:pPr>
      <w:r>
        <w:rPr>
          <w:rStyle w:val="cf01"/>
        </w:rPr>
        <w:t xml:space="preserve">. </w:t>
      </w:r>
      <w:r w:rsidR="00285A22">
        <w:br w:type="page"/>
      </w:r>
    </w:p>
    <w:p w14:paraId="6B77F993" w14:textId="10C4F9E9" w:rsidR="00014346" w:rsidRPr="001B4751" w:rsidRDefault="007B43F8" w:rsidP="00A909F2">
      <w:pPr>
        <w:pStyle w:val="Heading2"/>
      </w:pPr>
      <w:r w:rsidRPr="26134177">
        <w:lastRenderedPageBreak/>
        <w:t xml:space="preserve">Annex 1 </w:t>
      </w:r>
      <w:r w:rsidR="3748B157" w:rsidRPr="26134177">
        <w:t xml:space="preserve">- </w:t>
      </w:r>
      <w:r w:rsidR="00B22C83" w:rsidRPr="26134177">
        <w:t>Indicative Monitoring</w:t>
      </w:r>
      <w:r w:rsidR="725E620F" w:rsidRPr="26134177">
        <w:t>,</w:t>
      </w:r>
      <w:r w:rsidR="3A8047B9" w:rsidRPr="26134177">
        <w:t xml:space="preserve"> </w:t>
      </w:r>
      <w:r w:rsidR="00B22C83" w:rsidRPr="26134177">
        <w:t>Evaluation</w:t>
      </w:r>
      <w:r w:rsidR="7B80B7F4" w:rsidRPr="26134177">
        <w:t xml:space="preserve"> and Learning</w:t>
      </w:r>
      <w:r w:rsidR="00B22C83">
        <w:t xml:space="preserve"> </w:t>
      </w:r>
      <w:r w:rsidR="4D1CFA2E" w:rsidRPr="26134177">
        <w:t>F</w:t>
      </w:r>
      <w:r w:rsidR="00B22C83" w:rsidRPr="26134177">
        <w:t>ramework</w:t>
      </w:r>
    </w:p>
    <w:p w14:paraId="094B4466" w14:textId="0F461467" w:rsidR="008F2552" w:rsidRPr="008F2552" w:rsidRDefault="00325F31" w:rsidP="26134177">
      <w:pPr>
        <w:suppressAutoHyphens w:val="0"/>
        <w:spacing w:before="0" w:after="0" w:line="240" w:lineRule="auto"/>
        <w:textAlignment w:val="baseline"/>
        <w:rPr>
          <w:rFonts w:ascii="Calibri" w:eastAsia="Times New Roman" w:hAnsi="Calibri" w:cs="Calibri"/>
          <w:color w:val="000000"/>
          <w:sz w:val="24"/>
          <w:szCs w:val="24"/>
          <w:lang w:eastAsia="en-AU"/>
        </w:rPr>
      </w:pPr>
      <w:r w:rsidRPr="26134177">
        <w:rPr>
          <w:rFonts w:ascii="Calibri" w:eastAsia="Times New Roman" w:hAnsi="Calibri" w:cs="Calibri"/>
          <w:color w:val="000000"/>
          <w:sz w:val="24"/>
          <w:szCs w:val="24"/>
          <w:lang w:eastAsia="en-AU"/>
        </w:rPr>
        <w:t>K</w:t>
      </w:r>
      <w:r w:rsidR="008F2552" w:rsidRPr="26134177">
        <w:rPr>
          <w:rFonts w:ascii="Calibri" w:eastAsia="Times New Roman" w:hAnsi="Calibri" w:cs="Calibri"/>
          <w:color w:val="000000"/>
          <w:sz w:val="24"/>
          <w:szCs w:val="24"/>
          <w:lang w:eastAsia="en-AU"/>
        </w:rPr>
        <w:t xml:space="preserve">ey Evaluation Questions: </w:t>
      </w:r>
      <w:r>
        <w:tab/>
      </w:r>
    </w:p>
    <w:p w14:paraId="3E4FDBE6" w14:textId="72716D67" w:rsidR="00815A93" w:rsidRDefault="00325F31" w:rsidP="39FBD563">
      <w:pPr>
        <w:pStyle w:val="ListParagraph"/>
        <w:numPr>
          <w:ilvl w:val="0"/>
          <w:numId w:val="1"/>
        </w:numPr>
        <w:suppressAutoHyphens w:val="0"/>
        <w:spacing w:before="0" w:after="0" w:line="240" w:lineRule="auto"/>
        <w:textAlignment w:val="baseline"/>
      </w:pPr>
      <w:r>
        <w:t xml:space="preserve">include </w:t>
      </w:r>
      <w:r w:rsidR="00F07203">
        <w:t>small number of key evaluation questions that align with the specific information needs of primary users. Questions should not be phrased as generic program evaluation questions or indicators phrased as questions, rather they are targeted exploratory questions</w:t>
      </w:r>
      <w:r w:rsidR="007E0FEF">
        <w:t xml:space="preserve"> </w:t>
      </w:r>
      <w:r w:rsidR="00712E86">
        <w:t>that</w:t>
      </w:r>
      <w:r w:rsidR="00F07203">
        <w:t xml:space="preserve"> allow users </w:t>
      </w:r>
      <w:r w:rsidR="00712E86">
        <w:t>of the MEL</w:t>
      </w:r>
      <w:r w:rsidR="00A73DCD">
        <w:t xml:space="preserve"> system</w:t>
      </w:r>
      <w:r w:rsidR="00712E86">
        <w:t xml:space="preserve"> </w:t>
      </w:r>
      <w:r w:rsidR="00F07203">
        <w:t>to make appropriate decisions about the program</w:t>
      </w:r>
      <w:r w:rsidR="007E0FEF">
        <w:t xml:space="preserve"> or respond to a particular area of </w:t>
      </w:r>
      <w:r w:rsidR="7BA604B4">
        <w:t xml:space="preserve">interest. </w:t>
      </w:r>
    </w:p>
    <w:p w14:paraId="5A34F1C0" w14:textId="1CE7A610" w:rsidR="39FBD563" w:rsidRDefault="39FBD563" w:rsidP="39FBD563">
      <w:pPr>
        <w:spacing w:before="0" w:after="0" w:line="240" w:lineRule="auto"/>
        <w:rPr>
          <w:rFonts w:ascii="Calibri" w:eastAsia="Times New Roman" w:hAnsi="Calibri" w:cs="Calibri"/>
          <w:color w:val="000000"/>
          <w:sz w:val="24"/>
          <w:szCs w:val="24"/>
          <w:lang w:eastAsia="en-AU"/>
        </w:rPr>
      </w:pPr>
    </w:p>
    <w:p w14:paraId="6D8B0928" w14:textId="7AAF9E11" w:rsidR="008F2552" w:rsidRPr="00815A93" w:rsidRDefault="00815A93" w:rsidP="00815A93">
      <w:pPr>
        <w:suppressAutoHyphens w:val="0"/>
        <w:spacing w:before="0" w:after="0" w:line="240" w:lineRule="auto"/>
        <w:textAlignment w:val="baseline"/>
        <w:rPr>
          <w:rFonts w:ascii="Calibri Light" w:eastAsia="Calibri Light" w:hAnsi="Calibri Light"/>
          <w:lang w:eastAsia="en-AU"/>
        </w:rPr>
      </w:pPr>
      <w:r w:rsidRPr="00815A93">
        <w:rPr>
          <w:rFonts w:ascii="Calibri" w:eastAsia="Times New Roman" w:hAnsi="Calibri" w:cs="Calibri"/>
          <w:color w:val="000000"/>
          <w:sz w:val="24"/>
          <w:szCs w:val="24"/>
          <w:lang w:eastAsia="en-AU"/>
        </w:rPr>
        <w:t>Framework:</w:t>
      </w:r>
      <w:r w:rsidR="00325F31" w:rsidRPr="00815A93">
        <w:rPr>
          <w:rFonts w:ascii="Calibri" w:eastAsia="Times New Roman" w:hAnsi="Calibri" w:cs="Calibri"/>
          <w:color w:val="000000"/>
          <w:sz w:val="24"/>
          <w:szCs w:val="24"/>
          <w:lang w:eastAsia="en-AU"/>
        </w:rPr>
        <w:tab/>
      </w:r>
      <w:r w:rsidR="00325F31">
        <w:tab/>
      </w:r>
      <w:r w:rsidR="00325F31">
        <w:tab/>
      </w:r>
      <w:r w:rsidR="00325F31">
        <w:tab/>
      </w:r>
      <w:r w:rsidR="00325F31">
        <w:tab/>
      </w:r>
      <w:r w:rsidR="00325F31">
        <w:tab/>
      </w:r>
      <w:r w:rsidR="00325F31">
        <w:tab/>
      </w:r>
      <w:r w:rsidR="00325F31">
        <w:tab/>
      </w:r>
      <w:r w:rsidR="00325F31">
        <w:tab/>
      </w:r>
      <w:r w:rsidR="00325F31">
        <w:tab/>
      </w:r>
      <w:r w:rsidR="008F2552" w:rsidRPr="00815A93">
        <w:rPr>
          <w:rFonts w:ascii="Calibri" w:eastAsia="Times New Roman" w:hAnsi="Calibri" w:cs="Calibri"/>
          <w:color w:val="000000"/>
          <w:sz w:val="24"/>
          <w:szCs w:val="24"/>
          <w:lang w:eastAsia="en-AU"/>
        </w:rPr>
        <w:t> </w:t>
      </w:r>
    </w:p>
    <w:tbl>
      <w:tblPr>
        <w:tblW w:w="9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3543"/>
        <w:gridCol w:w="1560"/>
        <w:gridCol w:w="1275"/>
        <w:gridCol w:w="1276"/>
      </w:tblGrid>
      <w:tr w:rsidR="002A74D8" w:rsidRPr="008F2552" w14:paraId="3F5B25AA" w14:textId="77777777" w:rsidTr="24C17D1C">
        <w:trPr>
          <w:trHeight w:val="645"/>
        </w:trPr>
        <w:tc>
          <w:tcPr>
            <w:tcW w:w="2127" w:type="dxa"/>
            <w:tcBorders>
              <w:top w:val="nil"/>
              <w:left w:val="nil"/>
              <w:bottom w:val="single" w:sz="6" w:space="0" w:color="000000"/>
              <w:right w:val="single" w:sz="6" w:space="0" w:color="000000"/>
            </w:tcBorders>
            <w:shd w:val="clear" w:color="auto" w:fill="007C89"/>
            <w:vAlign w:val="center"/>
            <w:hideMark/>
          </w:tcPr>
          <w:p w14:paraId="09EB3829" w14:textId="7A3068BC" w:rsidR="002A74D8" w:rsidRPr="001642C3" w:rsidRDefault="4C0EAB16" w:rsidP="26134177">
            <w:pPr>
              <w:suppressAutoHyphens w:val="0"/>
              <w:spacing w:before="0" w:after="0" w:line="240" w:lineRule="auto"/>
              <w:ind w:left="90" w:right="90"/>
              <w:jc w:val="center"/>
              <w:textAlignment w:val="baseline"/>
              <w:rPr>
                <w:rFonts w:asciiTheme="majorHAnsi" w:eastAsia="Times New Roman" w:hAnsiTheme="majorHAnsi"/>
                <w:b/>
                <w:bCs/>
                <w:i/>
                <w:iCs/>
                <w:color w:val="FFFFFF"/>
                <w:sz w:val="20"/>
                <w:szCs w:val="20"/>
                <w:lang w:eastAsia="en-AU"/>
              </w:rPr>
            </w:pPr>
            <w:r w:rsidRPr="26134177">
              <w:rPr>
                <w:rFonts w:asciiTheme="majorHAnsi" w:eastAsia="Times New Roman" w:hAnsiTheme="majorHAnsi"/>
                <w:b/>
                <w:bCs/>
                <w:color w:val="FFFFFF" w:themeColor="background1"/>
                <w:sz w:val="20"/>
                <w:szCs w:val="20"/>
                <w:lang w:eastAsia="en-AU"/>
              </w:rPr>
              <w:t xml:space="preserve"> Insert, goal outcomes, outputs </w:t>
            </w:r>
          </w:p>
        </w:tc>
        <w:tc>
          <w:tcPr>
            <w:tcW w:w="3543" w:type="dxa"/>
            <w:tcBorders>
              <w:top w:val="nil"/>
              <w:left w:val="single" w:sz="6" w:space="0" w:color="000000"/>
              <w:bottom w:val="single" w:sz="6" w:space="0" w:color="000000"/>
              <w:right w:val="single" w:sz="6" w:space="0" w:color="000000"/>
            </w:tcBorders>
            <w:shd w:val="clear" w:color="auto" w:fill="007C89"/>
            <w:vAlign w:val="center"/>
            <w:hideMark/>
          </w:tcPr>
          <w:p w14:paraId="7857EF2E" w14:textId="77777777" w:rsidR="002A74D8" w:rsidRPr="001642C3"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1642C3">
              <w:rPr>
                <w:rFonts w:asciiTheme="majorHAnsi" w:eastAsia="Times New Roman" w:hAnsiTheme="majorHAnsi" w:cstheme="majorHAnsi"/>
                <w:b/>
                <w:bCs/>
                <w:color w:val="FFFFFF"/>
                <w:sz w:val="20"/>
                <w:szCs w:val="20"/>
                <w:lang w:eastAsia="en-AU"/>
              </w:rPr>
              <w:t>Indicator </w:t>
            </w:r>
          </w:p>
        </w:tc>
        <w:tc>
          <w:tcPr>
            <w:tcW w:w="1560" w:type="dxa"/>
            <w:tcBorders>
              <w:top w:val="nil"/>
              <w:left w:val="single" w:sz="6" w:space="0" w:color="000000"/>
              <w:bottom w:val="single" w:sz="6" w:space="0" w:color="000000"/>
              <w:right w:val="single" w:sz="6" w:space="0" w:color="000000"/>
            </w:tcBorders>
            <w:shd w:val="clear" w:color="auto" w:fill="007C89"/>
            <w:hideMark/>
          </w:tcPr>
          <w:p w14:paraId="607FA5C7" w14:textId="2345BCAD" w:rsidR="002A74D8" w:rsidRPr="001642C3"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1642C3">
              <w:rPr>
                <w:rFonts w:asciiTheme="majorHAnsi" w:eastAsia="Times New Roman" w:hAnsiTheme="majorHAnsi" w:cstheme="majorHAnsi"/>
                <w:b/>
                <w:bCs/>
                <w:color w:val="FFFFFF"/>
                <w:sz w:val="20"/>
                <w:szCs w:val="20"/>
                <w:lang w:eastAsia="en-AU"/>
              </w:rPr>
              <w:t>Data collection method</w:t>
            </w:r>
            <w:r w:rsidR="00212BE0">
              <w:rPr>
                <w:rFonts w:asciiTheme="majorHAnsi" w:eastAsia="Times New Roman" w:hAnsiTheme="majorHAnsi" w:cstheme="majorHAnsi"/>
                <w:b/>
                <w:bCs/>
                <w:color w:val="FFFFFF"/>
                <w:sz w:val="20"/>
                <w:szCs w:val="20"/>
                <w:lang w:eastAsia="en-AU"/>
              </w:rPr>
              <w:t xml:space="preserve">, </w:t>
            </w:r>
            <w:r w:rsidRPr="001642C3">
              <w:rPr>
                <w:rFonts w:asciiTheme="majorHAnsi" w:eastAsia="Times New Roman" w:hAnsiTheme="majorHAnsi" w:cstheme="majorHAnsi"/>
                <w:b/>
                <w:bCs/>
                <w:color w:val="FFFFFF"/>
                <w:sz w:val="20"/>
                <w:szCs w:val="20"/>
                <w:lang w:eastAsia="en-AU"/>
              </w:rPr>
              <w:t>frequency</w:t>
            </w:r>
            <w:r w:rsidR="00212BE0">
              <w:rPr>
                <w:rFonts w:asciiTheme="majorHAnsi" w:eastAsia="Times New Roman" w:hAnsiTheme="majorHAnsi" w:cstheme="majorHAnsi"/>
                <w:b/>
                <w:bCs/>
                <w:color w:val="FFFFFF"/>
                <w:sz w:val="20"/>
                <w:szCs w:val="20"/>
                <w:lang w:eastAsia="en-AU"/>
              </w:rPr>
              <w:t xml:space="preserve"> &amp; responsibility</w:t>
            </w:r>
            <w:r w:rsidRPr="001642C3">
              <w:rPr>
                <w:rFonts w:asciiTheme="majorHAnsi" w:eastAsia="Times New Roman" w:hAnsiTheme="majorHAnsi" w:cstheme="majorHAnsi"/>
                <w:b/>
                <w:bCs/>
                <w:color w:val="FFFFFF"/>
                <w:sz w:val="20"/>
                <w:szCs w:val="20"/>
                <w:lang w:eastAsia="en-AU"/>
              </w:rPr>
              <w:t> </w:t>
            </w:r>
          </w:p>
        </w:tc>
        <w:tc>
          <w:tcPr>
            <w:tcW w:w="1275" w:type="dxa"/>
            <w:tcBorders>
              <w:top w:val="nil"/>
              <w:left w:val="single" w:sz="6" w:space="0" w:color="000000"/>
              <w:bottom w:val="single" w:sz="6" w:space="0" w:color="000000"/>
              <w:right w:val="single" w:sz="6" w:space="0" w:color="000000"/>
            </w:tcBorders>
            <w:shd w:val="clear" w:color="auto" w:fill="007C89"/>
            <w:vAlign w:val="center"/>
            <w:hideMark/>
          </w:tcPr>
          <w:p w14:paraId="5E5B3BFD" w14:textId="77777777" w:rsidR="002A74D8" w:rsidRPr="001642C3"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1642C3">
              <w:rPr>
                <w:rFonts w:asciiTheme="majorHAnsi" w:eastAsia="Times New Roman" w:hAnsiTheme="majorHAnsi" w:cstheme="majorHAnsi"/>
                <w:b/>
                <w:bCs/>
                <w:color w:val="FFFFFF"/>
                <w:sz w:val="20"/>
                <w:szCs w:val="20"/>
                <w:lang w:eastAsia="en-AU"/>
              </w:rPr>
              <w:t>Baseline </w:t>
            </w:r>
          </w:p>
        </w:tc>
        <w:tc>
          <w:tcPr>
            <w:tcW w:w="1276" w:type="dxa"/>
            <w:tcBorders>
              <w:top w:val="nil"/>
              <w:left w:val="single" w:sz="6" w:space="0" w:color="000000"/>
              <w:bottom w:val="single" w:sz="6" w:space="0" w:color="000000"/>
              <w:right w:val="single" w:sz="6" w:space="0" w:color="000000"/>
            </w:tcBorders>
            <w:shd w:val="clear" w:color="auto" w:fill="007C89"/>
            <w:vAlign w:val="center"/>
            <w:hideMark/>
          </w:tcPr>
          <w:p w14:paraId="6D1953B7" w14:textId="77777777" w:rsidR="002A74D8" w:rsidRPr="001642C3"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1642C3">
              <w:rPr>
                <w:rFonts w:asciiTheme="majorHAnsi" w:eastAsia="Times New Roman" w:hAnsiTheme="majorHAnsi" w:cstheme="majorHAnsi"/>
                <w:b/>
                <w:bCs/>
                <w:color w:val="FFFFFF"/>
                <w:sz w:val="20"/>
                <w:szCs w:val="20"/>
                <w:lang w:eastAsia="en-AU"/>
              </w:rPr>
              <w:t>Target </w:t>
            </w:r>
          </w:p>
        </w:tc>
      </w:tr>
      <w:tr w:rsidR="002A74D8" w:rsidRPr="008F2552" w14:paraId="3E296924" w14:textId="77777777" w:rsidTr="24C17D1C">
        <w:trPr>
          <w:trHeight w:val="300"/>
        </w:trPr>
        <w:tc>
          <w:tcPr>
            <w:tcW w:w="2127" w:type="dxa"/>
            <w:tcBorders>
              <w:top w:val="single" w:sz="6" w:space="0" w:color="000000"/>
              <w:left w:val="nil"/>
              <w:bottom w:val="single" w:sz="6" w:space="0" w:color="auto"/>
              <w:right w:val="single" w:sz="6" w:space="0" w:color="000000"/>
            </w:tcBorders>
            <w:shd w:val="clear" w:color="auto" w:fill="007C89"/>
            <w:hideMark/>
          </w:tcPr>
          <w:p w14:paraId="26C0D263" w14:textId="26887109" w:rsidR="002A74D8" w:rsidRPr="00E2077F"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E2077F">
              <w:rPr>
                <w:rFonts w:asciiTheme="majorHAnsi" w:eastAsia="Times New Roman" w:hAnsiTheme="majorHAnsi" w:cstheme="majorHAnsi"/>
                <w:b/>
                <w:bCs/>
                <w:color w:val="FFFFFF"/>
                <w:sz w:val="20"/>
                <w:szCs w:val="20"/>
                <w:lang w:eastAsia="en-AU"/>
              </w:rPr>
              <w:t>Goal </w:t>
            </w:r>
          </w:p>
        </w:tc>
        <w:tc>
          <w:tcPr>
            <w:tcW w:w="3543" w:type="dxa"/>
            <w:tcBorders>
              <w:top w:val="single" w:sz="6" w:space="0" w:color="000000"/>
              <w:left w:val="single" w:sz="6" w:space="0" w:color="000000"/>
              <w:bottom w:val="single" w:sz="6" w:space="0" w:color="auto"/>
              <w:right w:val="single" w:sz="6" w:space="0" w:color="000000"/>
            </w:tcBorders>
            <w:shd w:val="clear" w:color="auto" w:fill="auto"/>
            <w:hideMark/>
          </w:tcPr>
          <w:p w14:paraId="20252088" w14:textId="77777777" w:rsidR="002A74D8"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p w14:paraId="0216F9E4" w14:textId="0125BF36" w:rsidR="00E55ECB" w:rsidRPr="00325F31" w:rsidRDefault="00E55ECB"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p>
        </w:tc>
        <w:tc>
          <w:tcPr>
            <w:tcW w:w="1560" w:type="dxa"/>
            <w:tcBorders>
              <w:top w:val="single" w:sz="6" w:space="0" w:color="000000"/>
              <w:left w:val="single" w:sz="6" w:space="0" w:color="000000"/>
              <w:bottom w:val="single" w:sz="6" w:space="0" w:color="auto"/>
              <w:right w:val="single" w:sz="6" w:space="0" w:color="000000"/>
            </w:tcBorders>
            <w:shd w:val="clear" w:color="auto" w:fill="auto"/>
            <w:hideMark/>
          </w:tcPr>
          <w:p w14:paraId="467D3FE6"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5" w:type="dxa"/>
            <w:tcBorders>
              <w:top w:val="single" w:sz="6" w:space="0" w:color="000000"/>
              <w:left w:val="single" w:sz="6" w:space="0" w:color="000000"/>
              <w:bottom w:val="single" w:sz="6" w:space="0" w:color="auto"/>
              <w:right w:val="single" w:sz="6" w:space="0" w:color="000000"/>
            </w:tcBorders>
            <w:shd w:val="clear" w:color="auto" w:fill="auto"/>
            <w:hideMark/>
          </w:tcPr>
          <w:p w14:paraId="1E3C1FE8"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6" w:type="dxa"/>
            <w:tcBorders>
              <w:top w:val="single" w:sz="6" w:space="0" w:color="000000"/>
              <w:left w:val="single" w:sz="6" w:space="0" w:color="000000"/>
              <w:bottom w:val="single" w:sz="6" w:space="0" w:color="auto"/>
              <w:right w:val="single" w:sz="6" w:space="0" w:color="000000"/>
            </w:tcBorders>
            <w:shd w:val="clear" w:color="auto" w:fill="auto"/>
            <w:hideMark/>
          </w:tcPr>
          <w:p w14:paraId="03A0CB3F"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r>
      <w:tr w:rsidR="002A74D8" w:rsidRPr="008F2552" w14:paraId="7C12BB1C" w14:textId="77777777" w:rsidTr="24C17D1C">
        <w:trPr>
          <w:trHeight w:val="300"/>
        </w:trPr>
        <w:tc>
          <w:tcPr>
            <w:tcW w:w="2127" w:type="dxa"/>
            <w:tcBorders>
              <w:top w:val="single" w:sz="6" w:space="0" w:color="auto"/>
              <w:left w:val="nil"/>
              <w:bottom w:val="single" w:sz="6" w:space="0" w:color="000000"/>
              <w:right w:val="single" w:sz="6" w:space="0" w:color="000000"/>
            </w:tcBorders>
            <w:shd w:val="clear" w:color="auto" w:fill="007C89"/>
            <w:hideMark/>
          </w:tcPr>
          <w:p w14:paraId="55B35DFF" w14:textId="14692006" w:rsidR="002A74D8" w:rsidRPr="00E2077F"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E2077F">
              <w:rPr>
                <w:rFonts w:asciiTheme="majorHAnsi" w:eastAsia="Times New Roman" w:hAnsiTheme="majorHAnsi" w:cstheme="majorHAnsi"/>
                <w:b/>
                <w:bCs/>
                <w:color w:val="FFFFFF"/>
                <w:sz w:val="20"/>
                <w:szCs w:val="20"/>
                <w:lang w:eastAsia="en-AU"/>
              </w:rPr>
              <w:t>End of Program Outcomes </w:t>
            </w:r>
          </w:p>
        </w:tc>
        <w:tc>
          <w:tcPr>
            <w:tcW w:w="3543" w:type="dxa"/>
            <w:tcBorders>
              <w:top w:val="single" w:sz="6" w:space="0" w:color="auto"/>
              <w:left w:val="single" w:sz="6" w:space="0" w:color="000000"/>
              <w:bottom w:val="single" w:sz="6" w:space="0" w:color="000000"/>
              <w:right w:val="single" w:sz="6" w:space="0" w:color="000000"/>
            </w:tcBorders>
            <w:shd w:val="clear" w:color="auto" w:fill="auto"/>
            <w:hideMark/>
          </w:tcPr>
          <w:p w14:paraId="2C0CD206"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560" w:type="dxa"/>
            <w:tcBorders>
              <w:top w:val="single" w:sz="6" w:space="0" w:color="auto"/>
              <w:left w:val="single" w:sz="6" w:space="0" w:color="000000"/>
              <w:bottom w:val="single" w:sz="6" w:space="0" w:color="000000"/>
              <w:right w:val="single" w:sz="6" w:space="0" w:color="000000"/>
            </w:tcBorders>
            <w:shd w:val="clear" w:color="auto" w:fill="auto"/>
            <w:hideMark/>
          </w:tcPr>
          <w:p w14:paraId="02E2072D"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5" w:type="dxa"/>
            <w:tcBorders>
              <w:top w:val="single" w:sz="6" w:space="0" w:color="auto"/>
              <w:left w:val="single" w:sz="6" w:space="0" w:color="000000"/>
              <w:bottom w:val="single" w:sz="6" w:space="0" w:color="000000"/>
              <w:right w:val="single" w:sz="6" w:space="0" w:color="000000"/>
            </w:tcBorders>
            <w:shd w:val="clear" w:color="auto" w:fill="auto"/>
            <w:hideMark/>
          </w:tcPr>
          <w:p w14:paraId="7D3684FE"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6" w:type="dxa"/>
            <w:tcBorders>
              <w:top w:val="single" w:sz="6" w:space="0" w:color="auto"/>
              <w:left w:val="single" w:sz="6" w:space="0" w:color="000000"/>
              <w:bottom w:val="single" w:sz="6" w:space="0" w:color="000000"/>
              <w:right w:val="single" w:sz="6" w:space="0" w:color="000000"/>
            </w:tcBorders>
            <w:shd w:val="clear" w:color="auto" w:fill="auto"/>
            <w:hideMark/>
          </w:tcPr>
          <w:p w14:paraId="2F99000E"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r>
      <w:tr w:rsidR="002A74D8" w:rsidRPr="008F2552" w14:paraId="3364B8C0" w14:textId="77777777" w:rsidTr="24C17D1C">
        <w:trPr>
          <w:trHeight w:val="300"/>
        </w:trPr>
        <w:tc>
          <w:tcPr>
            <w:tcW w:w="2127" w:type="dxa"/>
            <w:tcBorders>
              <w:top w:val="single" w:sz="6" w:space="0" w:color="000000"/>
              <w:left w:val="nil"/>
              <w:bottom w:val="single" w:sz="6" w:space="0" w:color="000000"/>
              <w:right w:val="single" w:sz="6" w:space="0" w:color="000000"/>
            </w:tcBorders>
            <w:shd w:val="clear" w:color="auto" w:fill="007C89"/>
            <w:hideMark/>
          </w:tcPr>
          <w:p w14:paraId="75A12604" w14:textId="77777777" w:rsidR="002A74D8" w:rsidRPr="00E2077F"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E2077F">
              <w:rPr>
                <w:rFonts w:asciiTheme="majorHAnsi" w:eastAsia="Times New Roman" w:hAnsiTheme="majorHAnsi" w:cstheme="majorHAnsi"/>
                <w:b/>
                <w:bCs/>
                <w:color w:val="FFFFFF"/>
                <w:sz w:val="20"/>
                <w:szCs w:val="20"/>
                <w:lang w:eastAsia="en-AU"/>
              </w:rPr>
              <w:t>Intermediate outcomes </w:t>
            </w:r>
          </w:p>
        </w:tc>
        <w:tc>
          <w:tcPr>
            <w:tcW w:w="3543" w:type="dxa"/>
            <w:tcBorders>
              <w:top w:val="single" w:sz="6" w:space="0" w:color="000000"/>
              <w:left w:val="single" w:sz="6" w:space="0" w:color="000000"/>
              <w:bottom w:val="single" w:sz="6" w:space="0" w:color="000000"/>
              <w:right w:val="single" w:sz="6" w:space="0" w:color="000000"/>
            </w:tcBorders>
            <w:shd w:val="clear" w:color="auto" w:fill="auto"/>
            <w:hideMark/>
          </w:tcPr>
          <w:p w14:paraId="22AC266B"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14A98CF"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89AEE7A"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ABB6E93"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r>
      <w:tr w:rsidR="002A74D8" w:rsidRPr="008F2552" w14:paraId="6F39D980" w14:textId="77777777" w:rsidTr="24C17D1C">
        <w:trPr>
          <w:trHeight w:val="480"/>
        </w:trPr>
        <w:tc>
          <w:tcPr>
            <w:tcW w:w="2127" w:type="dxa"/>
            <w:tcBorders>
              <w:top w:val="single" w:sz="6" w:space="0" w:color="000000"/>
              <w:left w:val="nil"/>
              <w:bottom w:val="single" w:sz="6" w:space="0" w:color="000000"/>
              <w:right w:val="single" w:sz="6" w:space="0" w:color="000000"/>
            </w:tcBorders>
            <w:shd w:val="clear" w:color="auto" w:fill="007C89"/>
            <w:hideMark/>
          </w:tcPr>
          <w:p w14:paraId="3A105BDE" w14:textId="77777777" w:rsidR="002A74D8" w:rsidRPr="00E2077F" w:rsidRDefault="002A74D8" w:rsidP="008F2552">
            <w:pPr>
              <w:suppressAutoHyphens w:val="0"/>
              <w:spacing w:before="0" w:after="0" w:line="240" w:lineRule="auto"/>
              <w:ind w:left="90" w:right="90"/>
              <w:jc w:val="center"/>
              <w:textAlignment w:val="baseline"/>
              <w:rPr>
                <w:rFonts w:asciiTheme="majorHAnsi" w:eastAsia="Times New Roman" w:hAnsiTheme="majorHAnsi" w:cstheme="majorHAnsi"/>
                <w:b/>
                <w:bCs/>
                <w:color w:val="FFFFFF"/>
                <w:sz w:val="20"/>
                <w:szCs w:val="20"/>
                <w:lang w:eastAsia="en-AU"/>
              </w:rPr>
            </w:pPr>
            <w:r w:rsidRPr="00E2077F">
              <w:rPr>
                <w:rFonts w:asciiTheme="majorHAnsi" w:eastAsia="Times New Roman" w:hAnsiTheme="majorHAnsi" w:cstheme="majorHAnsi"/>
                <w:b/>
                <w:bCs/>
                <w:color w:val="FFFFFF"/>
                <w:sz w:val="20"/>
                <w:szCs w:val="20"/>
                <w:lang w:eastAsia="en-AU"/>
              </w:rPr>
              <w:t>Outputs </w:t>
            </w:r>
          </w:p>
        </w:tc>
        <w:tc>
          <w:tcPr>
            <w:tcW w:w="3543" w:type="dxa"/>
            <w:tcBorders>
              <w:top w:val="single" w:sz="6" w:space="0" w:color="000000"/>
              <w:left w:val="single" w:sz="6" w:space="0" w:color="000000"/>
              <w:bottom w:val="single" w:sz="6" w:space="0" w:color="000000"/>
              <w:right w:val="single" w:sz="6" w:space="0" w:color="000000"/>
            </w:tcBorders>
            <w:shd w:val="clear" w:color="auto" w:fill="auto"/>
            <w:hideMark/>
          </w:tcPr>
          <w:p w14:paraId="5FF0E1E3" w14:textId="7759E0BF" w:rsidR="002A74D8" w:rsidRPr="00325F31" w:rsidRDefault="002A74D8" w:rsidP="24C17D1C">
            <w:pPr>
              <w:suppressAutoHyphens w:val="0"/>
              <w:spacing w:before="0" w:after="0" w:line="240" w:lineRule="auto"/>
              <w:textAlignment w:val="baseline"/>
              <w:rPr>
                <w:rFonts w:asciiTheme="majorHAnsi" w:eastAsia="Times New Roman" w:hAnsiTheme="majorHAnsi" w:cstheme="majorHAnsi"/>
                <w:color w:val="44546A"/>
                <w:szCs w:val="22"/>
                <w:lang w:eastAsia="en-A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7169E87"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A0EACD8" w14:textId="77777777" w:rsidR="002A74D8" w:rsidRPr="00325F31" w:rsidRDefault="002A74D8" w:rsidP="008F2552">
            <w:pPr>
              <w:suppressAutoHyphens w:val="0"/>
              <w:spacing w:before="0" w:after="0" w:line="240" w:lineRule="auto"/>
              <w:textAlignment w:val="baseline"/>
              <w:rPr>
                <w:rFonts w:asciiTheme="majorHAnsi" w:eastAsia="Times New Roman" w:hAnsiTheme="majorHAnsi" w:cstheme="majorHAnsi"/>
                <w:color w:val="44546A"/>
                <w:szCs w:val="22"/>
                <w:lang w:eastAsia="en-AU"/>
              </w:rPr>
            </w:pPr>
            <w:r w:rsidRPr="00325F31">
              <w:rPr>
                <w:rFonts w:asciiTheme="majorHAnsi" w:eastAsia="Times New Roman" w:hAnsiTheme="majorHAnsi" w:cstheme="majorHAnsi"/>
                <w:color w:val="44546A"/>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009A83F" w14:textId="77777777" w:rsidR="002A74D8" w:rsidRPr="00325F31" w:rsidRDefault="4C0EAB16" w:rsidP="3141B229">
            <w:pPr>
              <w:suppressAutoHyphens w:val="0"/>
              <w:spacing w:before="0" w:after="0" w:line="240" w:lineRule="auto"/>
              <w:textAlignment w:val="baseline"/>
              <w:rPr>
                <w:rFonts w:asciiTheme="majorHAnsi" w:eastAsia="Times New Roman" w:hAnsiTheme="majorHAnsi"/>
                <w:color w:val="44546A"/>
                <w:lang w:eastAsia="en-AU"/>
              </w:rPr>
            </w:pPr>
            <w:r w:rsidRPr="26134177">
              <w:rPr>
                <w:rFonts w:asciiTheme="majorHAnsi" w:eastAsia="Times New Roman" w:hAnsiTheme="majorHAnsi"/>
                <w:color w:val="44546A"/>
                <w:lang w:eastAsia="en-AU"/>
              </w:rPr>
              <w:t> </w:t>
            </w:r>
          </w:p>
        </w:tc>
      </w:tr>
    </w:tbl>
    <w:p w14:paraId="4B6E6176" w14:textId="77777777" w:rsidR="008F2552" w:rsidRPr="008F2552" w:rsidRDefault="008F2552" w:rsidP="008F2552">
      <w:pPr>
        <w:suppressAutoHyphens w:val="0"/>
        <w:spacing w:before="0" w:after="0" w:line="240" w:lineRule="auto"/>
        <w:textAlignment w:val="baseline"/>
        <w:rPr>
          <w:rFonts w:ascii="Segoe UI" w:eastAsia="Times New Roman" w:hAnsi="Segoe UI" w:cs="Segoe UI"/>
          <w:color w:val="44546A"/>
          <w:sz w:val="18"/>
          <w:szCs w:val="18"/>
          <w:lang w:eastAsia="en-AU"/>
        </w:rPr>
      </w:pPr>
      <w:r w:rsidRPr="008F2552">
        <w:rPr>
          <w:rFonts w:ascii="Calibri" w:eastAsia="Times New Roman" w:hAnsi="Calibri" w:cs="Calibri"/>
          <w:color w:val="FF0000"/>
          <w:szCs w:val="22"/>
          <w:lang w:eastAsia="en-AU"/>
        </w:rPr>
        <w:t> </w:t>
      </w:r>
    </w:p>
    <w:p w14:paraId="5909E33D" w14:textId="77777777" w:rsidR="00AC3728" w:rsidRDefault="00AC3728" w:rsidP="00AC3728">
      <w:pPr>
        <w:suppressAutoHyphens w:val="0"/>
        <w:spacing w:before="0" w:after="0" w:line="240" w:lineRule="auto"/>
        <w:textAlignment w:val="baseline"/>
        <w:rPr>
          <w:rFonts w:ascii="Calibri" w:eastAsia="Times New Roman" w:hAnsi="Calibri" w:cs="Calibri"/>
          <w:color w:val="44546A"/>
          <w:szCs w:val="22"/>
          <w:lang w:val="en-GB" w:eastAsia="en-AU"/>
        </w:rPr>
      </w:pPr>
    </w:p>
    <w:p w14:paraId="232D621C" w14:textId="5BF529BF" w:rsidR="00AC3728" w:rsidRPr="00526E2E" w:rsidRDefault="00AC3728" w:rsidP="00AC3728">
      <w:pPr>
        <w:suppressAutoHyphens w:val="0"/>
        <w:spacing w:before="0" w:after="0" w:line="240" w:lineRule="auto"/>
        <w:textAlignment w:val="baseline"/>
        <w:rPr>
          <w:rFonts w:ascii="Calibri" w:eastAsia="Times New Roman" w:hAnsi="Calibri" w:cs="Calibri"/>
          <w:b/>
          <w:bCs/>
          <w:color w:val="44546A"/>
          <w:szCs w:val="22"/>
          <w:lang w:val="en-GB" w:eastAsia="en-AU"/>
        </w:rPr>
      </w:pPr>
      <w:r w:rsidRPr="00526E2E">
        <w:rPr>
          <w:rFonts w:ascii="Calibri" w:eastAsia="Times New Roman" w:hAnsi="Calibri" w:cs="Calibri"/>
          <w:b/>
          <w:bCs/>
          <w:color w:val="44546A"/>
          <w:szCs w:val="22"/>
          <w:lang w:val="en-GB" w:eastAsia="en-AU"/>
        </w:rPr>
        <w:t>Notes</w:t>
      </w:r>
    </w:p>
    <w:p w14:paraId="287DCC36" w14:textId="77777777" w:rsidR="006C7097" w:rsidRPr="006C7097" w:rsidRDefault="001642C3" w:rsidP="26134177">
      <w:pPr>
        <w:pStyle w:val="ListParagraph"/>
        <w:numPr>
          <w:ilvl w:val="0"/>
          <w:numId w:val="17"/>
        </w:numPr>
        <w:suppressAutoHyphens w:val="0"/>
        <w:spacing w:before="0" w:after="0" w:line="240" w:lineRule="auto"/>
        <w:textAlignment w:val="baseline"/>
        <w:rPr>
          <w:rFonts w:ascii="Calibri" w:eastAsia="Times New Roman" w:hAnsi="Calibri" w:cs="Calibri"/>
          <w:color w:val="44546A"/>
          <w:lang w:val="en-GB" w:eastAsia="en-AU"/>
        </w:rPr>
      </w:pPr>
      <w:r w:rsidRPr="26134177">
        <w:rPr>
          <w:rFonts w:ascii="Calibri" w:eastAsia="Times New Roman" w:hAnsi="Calibri" w:cs="Calibri"/>
          <w:color w:val="44546A"/>
          <w:lang w:val="en-GB" w:eastAsia="en-AU"/>
        </w:rPr>
        <w:t xml:space="preserve">Goal, EOPOs, IOs are from the program logic. </w:t>
      </w:r>
    </w:p>
    <w:p w14:paraId="000FDA39" w14:textId="60D0F0BC" w:rsidR="1E93F0E7" w:rsidRDefault="1E93F0E7" w:rsidP="26134177">
      <w:pPr>
        <w:pStyle w:val="ListParagraph"/>
        <w:numPr>
          <w:ilvl w:val="0"/>
          <w:numId w:val="17"/>
        </w:numPr>
        <w:spacing w:before="0" w:after="0" w:line="240" w:lineRule="auto"/>
        <w:rPr>
          <w:rFonts w:ascii="Calibri" w:eastAsia="Times New Roman" w:hAnsi="Calibri" w:cs="Calibri"/>
          <w:color w:val="44546A"/>
          <w:szCs w:val="22"/>
          <w:lang w:val="en-GB" w:eastAsia="en-AU"/>
        </w:rPr>
      </w:pPr>
      <w:r w:rsidRPr="26134177">
        <w:rPr>
          <w:rFonts w:ascii="Calibri" w:eastAsia="Times New Roman" w:hAnsi="Calibri" w:cs="Calibri"/>
          <w:color w:val="44546A"/>
          <w:szCs w:val="22"/>
          <w:lang w:val="en-GB" w:eastAsia="en-AU"/>
        </w:rPr>
        <w:t xml:space="preserve">Outcomes relating to cross cutting priorities </w:t>
      </w:r>
      <w:r w:rsidR="00A95574">
        <w:rPr>
          <w:rFonts w:ascii="Calibri" w:eastAsia="Times New Roman" w:hAnsi="Calibri" w:cs="Calibri"/>
          <w:color w:val="44546A"/>
          <w:szCs w:val="22"/>
          <w:lang w:val="en-GB" w:eastAsia="en-AU"/>
        </w:rPr>
        <w:t>should be</w:t>
      </w:r>
      <w:r w:rsidRPr="26134177">
        <w:rPr>
          <w:rFonts w:ascii="Calibri" w:eastAsia="Times New Roman" w:hAnsi="Calibri" w:cs="Calibri"/>
          <w:color w:val="44546A"/>
          <w:szCs w:val="22"/>
          <w:lang w:val="en-GB" w:eastAsia="en-AU"/>
        </w:rPr>
        <w:t xml:space="preserve"> included as EOPOs or IOs.</w:t>
      </w:r>
    </w:p>
    <w:p w14:paraId="582D7DDA" w14:textId="4B5DD7CD" w:rsidR="001642C3" w:rsidRPr="006C7097" w:rsidRDefault="001642C3" w:rsidP="3141B229">
      <w:pPr>
        <w:pStyle w:val="ListParagraph"/>
        <w:numPr>
          <w:ilvl w:val="0"/>
          <w:numId w:val="17"/>
        </w:numPr>
        <w:suppressAutoHyphens w:val="0"/>
        <w:spacing w:before="0" w:after="0" w:line="240" w:lineRule="auto"/>
        <w:textAlignment w:val="baseline"/>
        <w:rPr>
          <w:rFonts w:ascii="Calibri" w:eastAsia="Times New Roman" w:hAnsi="Calibri" w:cs="Calibri"/>
          <w:color w:val="44546A"/>
          <w:lang w:val="en-GB" w:eastAsia="en-AU"/>
        </w:rPr>
      </w:pPr>
      <w:r w:rsidRPr="39FBD563">
        <w:rPr>
          <w:rFonts w:ascii="Calibri" w:eastAsia="Times New Roman" w:hAnsi="Calibri" w:cs="Calibri"/>
          <w:color w:val="44546A"/>
          <w:lang w:val="en-GB" w:eastAsia="en-AU"/>
        </w:rPr>
        <w:t>Outputs are what the program</w:t>
      </w:r>
      <w:r w:rsidR="00FD1F3F" w:rsidRPr="39FBD563">
        <w:rPr>
          <w:rFonts w:ascii="Calibri" w:eastAsia="Times New Roman" w:hAnsi="Calibri" w:cs="Calibri"/>
          <w:color w:val="44546A"/>
          <w:lang w:val="en-GB" w:eastAsia="en-AU"/>
        </w:rPr>
        <w:t xml:space="preserve"> activities</w:t>
      </w:r>
      <w:r w:rsidRPr="39FBD563">
        <w:rPr>
          <w:rFonts w:ascii="Calibri" w:eastAsia="Times New Roman" w:hAnsi="Calibri" w:cs="Calibri"/>
          <w:color w:val="44546A"/>
          <w:lang w:val="en-GB" w:eastAsia="en-AU"/>
        </w:rPr>
        <w:t xml:space="preserve"> will deliver</w:t>
      </w:r>
      <w:r w:rsidR="00FD1F3F" w:rsidRPr="39FBD563">
        <w:rPr>
          <w:rFonts w:ascii="Calibri" w:eastAsia="Times New Roman" w:hAnsi="Calibri" w:cs="Calibri"/>
          <w:color w:val="44546A"/>
          <w:lang w:val="en-GB" w:eastAsia="en-AU"/>
        </w:rPr>
        <w:t xml:space="preserve"> to contribute to the outcomes – </w:t>
      </w:r>
      <w:proofErr w:type="gramStart"/>
      <w:r w:rsidR="00FD1F3F" w:rsidRPr="39FBD563">
        <w:rPr>
          <w:rFonts w:ascii="Calibri" w:eastAsia="Times New Roman" w:hAnsi="Calibri" w:cs="Calibri"/>
          <w:color w:val="44546A"/>
          <w:lang w:val="en-GB" w:eastAsia="en-AU"/>
        </w:rPr>
        <w:t>e.g.</w:t>
      </w:r>
      <w:proofErr w:type="gramEnd"/>
      <w:r w:rsidR="00FD1F3F" w:rsidRPr="39FBD563">
        <w:rPr>
          <w:rFonts w:ascii="Calibri" w:eastAsia="Times New Roman" w:hAnsi="Calibri" w:cs="Calibri"/>
          <w:color w:val="44546A"/>
          <w:lang w:val="en-GB" w:eastAsia="en-AU"/>
        </w:rPr>
        <w:t xml:space="preserve"> </w:t>
      </w:r>
      <w:r w:rsidR="0051783A" w:rsidRPr="39FBD563">
        <w:rPr>
          <w:rFonts w:ascii="Calibri" w:eastAsia="Times New Roman" w:hAnsi="Calibri" w:cs="Calibri"/>
          <w:color w:val="44546A"/>
          <w:lang w:val="en-GB" w:eastAsia="en-AU"/>
        </w:rPr>
        <w:t xml:space="preserve">training, </w:t>
      </w:r>
      <w:r w:rsidR="00C05235" w:rsidRPr="39FBD563">
        <w:rPr>
          <w:rFonts w:ascii="Calibri" w:eastAsia="Times New Roman" w:hAnsi="Calibri" w:cs="Calibri"/>
          <w:color w:val="44546A"/>
          <w:lang w:val="en-GB" w:eastAsia="en-AU"/>
        </w:rPr>
        <w:t>health facility support, distribution of medical products</w:t>
      </w:r>
      <w:r w:rsidR="006C7097" w:rsidRPr="39FBD563">
        <w:rPr>
          <w:rFonts w:ascii="Calibri" w:eastAsia="Times New Roman" w:hAnsi="Calibri" w:cs="Calibri"/>
          <w:color w:val="44546A"/>
          <w:lang w:val="en-GB" w:eastAsia="en-AU"/>
        </w:rPr>
        <w:t>, policy workshops etc</w:t>
      </w:r>
      <w:r w:rsidR="00E55ECB" w:rsidRPr="39FBD563">
        <w:rPr>
          <w:rFonts w:ascii="Calibri" w:eastAsia="Times New Roman" w:hAnsi="Calibri" w:cs="Calibri"/>
          <w:color w:val="44546A"/>
          <w:lang w:val="en-GB" w:eastAsia="en-AU"/>
        </w:rPr>
        <w:t>.</w:t>
      </w:r>
    </w:p>
    <w:p w14:paraId="1B9D8283" w14:textId="7C6520CB" w:rsidR="00444E90" w:rsidRPr="00526E2E" w:rsidRDefault="00444E90" w:rsidP="3141B229">
      <w:pPr>
        <w:pStyle w:val="ListParagraph"/>
        <w:numPr>
          <w:ilvl w:val="0"/>
          <w:numId w:val="17"/>
        </w:numPr>
        <w:suppressAutoHyphens w:val="0"/>
        <w:spacing w:before="0" w:after="0" w:line="240" w:lineRule="auto"/>
        <w:textAlignment w:val="baseline"/>
        <w:rPr>
          <w:rFonts w:ascii="Calibri" w:eastAsia="Times New Roman" w:hAnsi="Calibri" w:cs="Calibri"/>
          <w:color w:val="44546A"/>
          <w:lang w:val="en-GB" w:eastAsia="en-AU"/>
        </w:rPr>
      </w:pPr>
      <w:r w:rsidRPr="39FBD563">
        <w:rPr>
          <w:rFonts w:ascii="Calibri" w:eastAsia="Times New Roman" w:hAnsi="Calibri" w:cs="Calibri"/>
          <w:color w:val="44546A"/>
          <w:lang w:val="en-GB" w:eastAsia="en-AU"/>
        </w:rPr>
        <w:t xml:space="preserve">For EOPOs and IOs – refer to the PHR </w:t>
      </w:r>
      <w:r w:rsidR="0025135F" w:rsidRPr="39FBD563">
        <w:rPr>
          <w:rFonts w:ascii="Calibri" w:eastAsia="Times New Roman" w:hAnsi="Calibri" w:cs="Calibri"/>
          <w:color w:val="44546A"/>
          <w:lang w:val="en-GB" w:eastAsia="en-AU"/>
        </w:rPr>
        <w:t xml:space="preserve">potential indicator list and select indicators that </w:t>
      </w:r>
      <w:r w:rsidR="0081551C" w:rsidRPr="39FBD563">
        <w:rPr>
          <w:rFonts w:ascii="Calibri" w:eastAsia="Times New Roman" w:hAnsi="Calibri" w:cs="Calibri"/>
          <w:color w:val="44546A"/>
          <w:lang w:val="en-GB" w:eastAsia="en-AU"/>
        </w:rPr>
        <w:t>are</w:t>
      </w:r>
      <w:r w:rsidR="0025135F" w:rsidRPr="39FBD563">
        <w:rPr>
          <w:rFonts w:ascii="Calibri" w:eastAsia="Times New Roman" w:hAnsi="Calibri" w:cs="Calibri"/>
          <w:color w:val="44546A"/>
          <w:lang w:val="en-GB" w:eastAsia="en-AU"/>
        </w:rPr>
        <w:t xml:space="preserve"> relevant to your IOs and EOPOs. </w:t>
      </w:r>
      <w:r w:rsidR="00372DE1" w:rsidRPr="39FBD563">
        <w:rPr>
          <w:rFonts w:ascii="Calibri" w:eastAsia="Times New Roman" w:hAnsi="Calibri" w:cs="Calibri"/>
          <w:color w:val="44546A"/>
          <w:lang w:val="en-GB" w:eastAsia="en-AU"/>
        </w:rPr>
        <w:t xml:space="preserve">As above, partners can use additional indicators that are relevant and not from the PHR indicator list. </w:t>
      </w:r>
    </w:p>
    <w:p w14:paraId="3A3799E6" w14:textId="1F7A3DDC" w:rsidR="00A7636D" w:rsidRDefault="00A7636D">
      <w:pPr>
        <w:pStyle w:val="ListParagraph"/>
        <w:numPr>
          <w:ilvl w:val="0"/>
          <w:numId w:val="17"/>
        </w:numPr>
        <w:suppressAutoHyphens w:val="0"/>
        <w:spacing w:before="0" w:after="0" w:line="240" w:lineRule="auto"/>
        <w:textAlignment w:val="baseline"/>
        <w:rPr>
          <w:rFonts w:ascii="Calibri" w:eastAsia="Times New Roman" w:hAnsi="Calibri" w:cs="Calibri"/>
          <w:color w:val="44546A"/>
          <w:szCs w:val="22"/>
          <w:lang w:val="en-GB" w:eastAsia="en-AU"/>
        </w:rPr>
      </w:pPr>
      <w:r w:rsidRPr="39FBD563">
        <w:rPr>
          <w:rFonts w:ascii="Calibri" w:eastAsia="Times New Roman" w:hAnsi="Calibri" w:cs="Calibri"/>
          <w:color w:val="44546A"/>
          <w:lang w:val="en-GB" w:eastAsia="en-AU"/>
        </w:rPr>
        <w:t>Useful to number the indicator</w:t>
      </w:r>
      <w:r w:rsidR="0081551C" w:rsidRPr="39FBD563">
        <w:rPr>
          <w:rFonts w:ascii="Calibri" w:eastAsia="Times New Roman" w:hAnsi="Calibri" w:cs="Calibri"/>
          <w:color w:val="44546A"/>
          <w:lang w:val="en-GB" w:eastAsia="en-AU"/>
        </w:rPr>
        <w:t>s</w:t>
      </w:r>
      <w:r w:rsidR="00372DE1" w:rsidRPr="39FBD563">
        <w:rPr>
          <w:rFonts w:ascii="Calibri" w:eastAsia="Times New Roman" w:hAnsi="Calibri" w:cs="Calibri"/>
          <w:color w:val="44546A"/>
          <w:lang w:val="en-GB" w:eastAsia="en-AU"/>
        </w:rPr>
        <w:t xml:space="preserve">, and where PHR indicators are used to reference them </w:t>
      </w:r>
      <w:r w:rsidR="00537831" w:rsidRPr="39FBD563">
        <w:rPr>
          <w:rFonts w:ascii="Calibri" w:eastAsia="Times New Roman" w:hAnsi="Calibri" w:cs="Calibri"/>
          <w:color w:val="44546A"/>
          <w:lang w:val="en-GB" w:eastAsia="en-AU"/>
        </w:rPr>
        <w:t xml:space="preserve">using the PHR indicator number </w:t>
      </w:r>
      <w:r w:rsidR="00372DE1" w:rsidRPr="39FBD563">
        <w:rPr>
          <w:rFonts w:ascii="Calibri" w:eastAsia="Times New Roman" w:hAnsi="Calibri" w:cs="Calibri"/>
          <w:color w:val="44546A"/>
          <w:lang w:val="en-GB" w:eastAsia="en-AU"/>
        </w:rPr>
        <w:t>e.g</w:t>
      </w:r>
      <w:r w:rsidR="00537831" w:rsidRPr="39FBD563">
        <w:rPr>
          <w:rFonts w:ascii="Calibri" w:eastAsia="Times New Roman" w:hAnsi="Calibri" w:cs="Calibri"/>
          <w:color w:val="44546A"/>
          <w:lang w:val="en-GB" w:eastAsia="en-AU"/>
        </w:rPr>
        <w:t>.</w:t>
      </w:r>
      <w:r w:rsidR="00372DE1" w:rsidRPr="39FBD563">
        <w:rPr>
          <w:rFonts w:ascii="Calibri" w:eastAsia="Times New Roman" w:hAnsi="Calibri" w:cs="Calibri"/>
          <w:color w:val="44546A"/>
          <w:lang w:val="en-GB" w:eastAsia="en-AU"/>
        </w:rPr>
        <w:t xml:space="preserve"> (PHR#22)</w:t>
      </w:r>
      <w:r w:rsidR="00537831" w:rsidRPr="39FBD563">
        <w:rPr>
          <w:rFonts w:ascii="Calibri" w:eastAsia="Times New Roman" w:hAnsi="Calibri" w:cs="Calibri"/>
          <w:color w:val="44546A"/>
          <w:lang w:val="en-GB" w:eastAsia="en-AU"/>
        </w:rPr>
        <w:t xml:space="preserve"> at the end the of indicator. </w:t>
      </w:r>
    </w:p>
    <w:p w14:paraId="554B4FA0" w14:textId="687DC754" w:rsidR="00666754" w:rsidRPr="00526E2E" w:rsidRDefault="00666754">
      <w:pPr>
        <w:pStyle w:val="ListParagraph"/>
        <w:numPr>
          <w:ilvl w:val="0"/>
          <w:numId w:val="17"/>
        </w:numPr>
        <w:suppressAutoHyphens w:val="0"/>
        <w:spacing w:before="0" w:after="0" w:line="240" w:lineRule="auto"/>
        <w:textAlignment w:val="baseline"/>
        <w:rPr>
          <w:rFonts w:ascii="Calibri" w:eastAsia="Times New Roman" w:hAnsi="Calibri" w:cs="Calibri"/>
          <w:color w:val="44546A"/>
          <w:lang w:val="en-GB" w:eastAsia="en-AU"/>
        </w:rPr>
      </w:pPr>
      <w:r w:rsidRPr="39FBD563">
        <w:rPr>
          <w:rFonts w:ascii="Calibri" w:eastAsia="Times New Roman" w:hAnsi="Calibri" w:cs="Calibri"/>
          <w:color w:val="44546A"/>
          <w:lang w:val="en-GB" w:eastAsia="en-AU"/>
        </w:rPr>
        <w:t>Data collection method</w:t>
      </w:r>
      <w:r w:rsidR="00E55ECB" w:rsidRPr="39FBD563">
        <w:rPr>
          <w:rFonts w:ascii="Calibri" w:eastAsia="Times New Roman" w:hAnsi="Calibri" w:cs="Calibri"/>
          <w:color w:val="44546A"/>
          <w:lang w:val="en-GB" w:eastAsia="en-AU"/>
        </w:rPr>
        <w:t>,</w:t>
      </w:r>
      <w:r w:rsidR="005D2819" w:rsidRPr="39FBD563">
        <w:rPr>
          <w:rFonts w:ascii="Calibri" w:eastAsia="Times New Roman" w:hAnsi="Calibri" w:cs="Calibri"/>
          <w:color w:val="44546A"/>
          <w:lang w:val="en-GB" w:eastAsia="en-AU"/>
        </w:rPr>
        <w:t xml:space="preserve"> </w:t>
      </w:r>
      <w:r w:rsidR="001545B5" w:rsidRPr="39FBD563">
        <w:rPr>
          <w:rFonts w:ascii="Calibri" w:eastAsia="Times New Roman" w:hAnsi="Calibri" w:cs="Calibri"/>
          <w:color w:val="44546A"/>
          <w:lang w:val="en-GB" w:eastAsia="en-AU"/>
        </w:rPr>
        <w:t>frequency,</w:t>
      </w:r>
      <w:r w:rsidR="005375C0" w:rsidRPr="39FBD563">
        <w:rPr>
          <w:rFonts w:ascii="Calibri" w:eastAsia="Times New Roman" w:hAnsi="Calibri" w:cs="Calibri"/>
          <w:color w:val="44546A"/>
          <w:lang w:val="en-GB" w:eastAsia="en-AU"/>
        </w:rPr>
        <w:t xml:space="preserve"> </w:t>
      </w:r>
      <w:r w:rsidR="00E55ECB" w:rsidRPr="39FBD563">
        <w:rPr>
          <w:rFonts w:ascii="Calibri" w:eastAsia="Times New Roman" w:hAnsi="Calibri" w:cs="Calibri"/>
          <w:color w:val="44546A"/>
          <w:lang w:val="en-GB" w:eastAsia="en-AU"/>
        </w:rPr>
        <w:t xml:space="preserve">and responsibility – what </w:t>
      </w:r>
      <w:r w:rsidR="0037260A" w:rsidRPr="39FBD563">
        <w:rPr>
          <w:rFonts w:ascii="Calibri" w:eastAsia="Times New Roman" w:hAnsi="Calibri" w:cs="Calibri"/>
          <w:color w:val="44546A"/>
          <w:lang w:val="en-GB" w:eastAsia="en-AU"/>
        </w:rPr>
        <w:t>methods will the program use to collect data against each indicator, how often will it be collected and who is responsible</w:t>
      </w:r>
      <w:r w:rsidR="00A95574" w:rsidRPr="39FBD563">
        <w:rPr>
          <w:rFonts w:ascii="Calibri" w:eastAsia="Times New Roman" w:hAnsi="Calibri" w:cs="Calibri"/>
          <w:color w:val="44546A"/>
          <w:lang w:val="en-GB" w:eastAsia="en-AU"/>
        </w:rPr>
        <w:t xml:space="preserve">. </w:t>
      </w:r>
    </w:p>
    <w:p w14:paraId="0EEF770C" w14:textId="68EF8B24" w:rsidR="005375C0" w:rsidRPr="00526E2E" w:rsidRDefault="24303D66" w:rsidP="005D2819">
      <w:pPr>
        <w:pStyle w:val="ListParagraph"/>
        <w:numPr>
          <w:ilvl w:val="0"/>
          <w:numId w:val="17"/>
        </w:numPr>
        <w:suppressAutoHyphens w:val="0"/>
        <w:spacing w:before="0" w:after="0" w:line="240" w:lineRule="auto"/>
        <w:textAlignment w:val="baseline"/>
        <w:rPr>
          <w:rFonts w:ascii="Calibri" w:eastAsia="Times New Roman" w:hAnsi="Calibri" w:cs="Calibri"/>
          <w:color w:val="44546A"/>
          <w:lang w:val="en-GB" w:eastAsia="en-AU"/>
        </w:rPr>
      </w:pPr>
      <w:r w:rsidRPr="39FBD563">
        <w:rPr>
          <w:rFonts w:ascii="Calibri" w:eastAsia="Times New Roman" w:hAnsi="Calibri" w:cs="Calibri"/>
          <w:color w:val="44546A"/>
          <w:lang w:val="en-GB" w:eastAsia="en-AU"/>
        </w:rPr>
        <w:t>Baseline – include baseline information where it is available. Under the standards, partners have 12 months to develop baselines. If it is not feasible to achieve a baseline, this shoul</w:t>
      </w:r>
      <w:r w:rsidR="7CE2F316" w:rsidRPr="39FBD563">
        <w:rPr>
          <w:rFonts w:ascii="Calibri" w:eastAsia="Times New Roman" w:hAnsi="Calibri" w:cs="Calibri"/>
          <w:color w:val="44546A"/>
          <w:lang w:val="en-GB" w:eastAsia="en-AU"/>
        </w:rPr>
        <w:t>d include a summary of, or reference to</w:t>
      </w:r>
      <w:r w:rsidR="5325FB85" w:rsidRPr="39FBD563">
        <w:rPr>
          <w:rFonts w:ascii="Calibri" w:eastAsia="Times New Roman" w:hAnsi="Calibri" w:cs="Calibri"/>
          <w:color w:val="44546A"/>
          <w:lang w:val="en-GB" w:eastAsia="en-AU"/>
        </w:rPr>
        <w:t>,</w:t>
      </w:r>
      <w:r w:rsidR="7CE2F316" w:rsidRPr="39FBD563">
        <w:rPr>
          <w:rFonts w:ascii="Calibri" w:eastAsia="Times New Roman" w:hAnsi="Calibri" w:cs="Calibri"/>
          <w:color w:val="44546A"/>
          <w:lang w:val="en-GB" w:eastAsia="en-AU"/>
        </w:rPr>
        <w:t xml:space="preserve"> the current status or situation. </w:t>
      </w:r>
    </w:p>
    <w:p w14:paraId="4E79A9DB" w14:textId="2B076198" w:rsidR="44397A75" w:rsidRDefault="42A6EACC" w:rsidP="78130BE9">
      <w:pPr>
        <w:pStyle w:val="ListParagraph"/>
        <w:numPr>
          <w:ilvl w:val="0"/>
          <w:numId w:val="17"/>
        </w:numPr>
        <w:spacing w:before="0" w:after="0" w:line="240" w:lineRule="auto"/>
        <w:rPr>
          <w:rFonts w:ascii="Calibri" w:eastAsia="Times New Roman" w:hAnsi="Calibri" w:cs="Calibri"/>
          <w:color w:val="44546A"/>
          <w:lang w:val="en-GB" w:eastAsia="en-AU"/>
        </w:rPr>
      </w:pPr>
      <w:r w:rsidRPr="39FBD563">
        <w:rPr>
          <w:rFonts w:ascii="Calibri" w:eastAsia="Times New Roman" w:hAnsi="Calibri" w:cs="Calibri"/>
          <w:color w:val="44546A"/>
          <w:lang w:val="en-GB" w:eastAsia="en-AU"/>
        </w:rPr>
        <w:t xml:space="preserve">Targets – include targets where available. If not available, they </w:t>
      </w:r>
      <w:r w:rsidR="001F472C" w:rsidRPr="39FBD563">
        <w:rPr>
          <w:rFonts w:ascii="Calibri" w:eastAsia="Times New Roman" w:hAnsi="Calibri" w:cs="Calibri"/>
          <w:color w:val="44546A"/>
          <w:lang w:val="en-GB" w:eastAsia="en-AU"/>
        </w:rPr>
        <w:t>should</w:t>
      </w:r>
      <w:r w:rsidRPr="39FBD563">
        <w:rPr>
          <w:rFonts w:ascii="Calibri" w:eastAsia="Times New Roman" w:hAnsi="Calibri" w:cs="Calibri"/>
          <w:color w:val="44546A"/>
          <w:lang w:val="en-GB" w:eastAsia="en-AU"/>
        </w:rPr>
        <w:t xml:space="preserve"> be submitted with the ME</w:t>
      </w:r>
      <w:r w:rsidR="66D060DB" w:rsidRPr="39FBD563">
        <w:rPr>
          <w:rFonts w:ascii="Calibri" w:eastAsia="Times New Roman" w:hAnsi="Calibri" w:cs="Calibri"/>
          <w:color w:val="44546A"/>
          <w:lang w:val="en-GB" w:eastAsia="en-AU"/>
        </w:rPr>
        <w:t>L Plan (6 months from contract signing). If it is not feasible to include targets, progress markers or similar could be used to demonstrate progress towards the outcome</w:t>
      </w:r>
      <w:r w:rsidR="6B7A4A99" w:rsidRPr="39FBD563">
        <w:rPr>
          <w:rFonts w:ascii="Calibri" w:eastAsia="Times New Roman" w:hAnsi="Calibri" w:cs="Calibri"/>
          <w:color w:val="44546A"/>
          <w:lang w:val="en-GB" w:eastAsia="en-AU"/>
        </w:rPr>
        <w:t>. Annual or mid</w:t>
      </w:r>
      <w:r w:rsidR="07D5028A" w:rsidRPr="39FBD563">
        <w:rPr>
          <w:rFonts w:ascii="Calibri" w:eastAsia="Times New Roman" w:hAnsi="Calibri" w:cs="Calibri"/>
          <w:color w:val="44546A"/>
          <w:lang w:val="en-GB" w:eastAsia="en-AU"/>
        </w:rPr>
        <w:t>-</w:t>
      </w:r>
      <w:r w:rsidR="6B7A4A99" w:rsidRPr="39FBD563">
        <w:rPr>
          <w:rFonts w:ascii="Calibri" w:eastAsia="Times New Roman" w:hAnsi="Calibri" w:cs="Calibri"/>
          <w:color w:val="44546A"/>
          <w:lang w:val="en-GB" w:eastAsia="en-AU"/>
        </w:rPr>
        <w:t>point targets can be provided</w:t>
      </w:r>
      <w:r w:rsidR="001F472C" w:rsidRPr="39FBD563">
        <w:rPr>
          <w:rFonts w:ascii="Calibri" w:eastAsia="Times New Roman" w:hAnsi="Calibri" w:cs="Calibri"/>
          <w:color w:val="44546A"/>
          <w:lang w:val="en-GB" w:eastAsia="en-AU"/>
        </w:rPr>
        <w:t>,</w:t>
      </w:r>
      <w:r w:rsidR="6B7A4A99" w:rsidRPr="39FBD563">
        <w:rPr>
          <w:rFonts w:ascii="Calibri" w:eastAsia="Times New Roman" w:hAnsi="Calibri" w:cs="Calibri"/>
          <w:color w:val="44546A"/>
          <w:lang w:val="en-GB" w:eastAsia="en-AU"/>
        </w:rPr>
        <w:t xml:space="preserve"> as relevant to support measurement of progress. </w:t>
      </w:r>
    </w:p>
    <w:p w14:paraId="1CC34EAF" w14:textId="77777777" w:rsidR="00A7636D" w:rsidRDefault="00A7636D" w:rsidP="00AC3728">
      <w:pPr>
        <w:suppressAutoHyphens w:val="0"/>
        <w:spacing w:before="0" w:after="0" w:line="240" w:lineRule="auto"/>
        <w:textAlignment w:val="baseline"/>
        <w:rPr>
          <w:rFonts w:ascii="Calibri" w:eastAsia="Times New Roman" w:hAnsi="Calibri" w:cs="Calibri"/>
          <w:color w:val="44546A"/>
          <w:szCs w:val="22"/>
          <w:lang w:val="en-GB" w:eastAsia="en-AU"/>
        </w:rPr>
      </w:pPr>
    </w:p>
    <w:p w14:paraId="75856179" w14:textId="77777777" w:rsidR="007D0DEB" w:rsidRDefault="007D0DEB" w:rsidP="00AC3728">
      <w:pPr>
        <w:suppressAutoHyphens w:val="0"/>
        <w:spacing w:before="0" w:after="0" w:line="240" w:lineRule="auto"/>
        <w:textAlignment w:val="baseline"/>
        <w:rPr>
          <w:rFonts w:ascii="Calibri" w:eastAsia="Times New Roman" w:hAnsi="Calibri" w:cs="Calibri"/>
          <w:color w:val="44546A"/>
          <w:szCs w:val="22"/>
          <w:lang w:val="en-GB" w:eastAsia="en-AU"/>
        </w:rPr>
      </w:pPr>
    </w:p>
    <w:p w14:paraId="649DD284" w14:textId="0C74DE0C" w:rsidR="008F2552" w:rsidRPr="00AC3728" w:rsidRDefault="008F2552" w:rsidP="008F2552">
      <w:pPr>
        <w:suppressAutoHyphens w:val="0"/>
        <w:spacing w:before="0" w:after="0" w:line="240" w:lineRule="auto"/>
        <w:textAlignment w:val="baseline"/>
        <w:rPr>
          <w:rFonts w:ascii="Segoe UI" w:eastAsia="Times New Roman" w:hAnsi="Segoe UI" w:cs="Segoe UI"/>
          <w:color w:val="44546A"/>
          <w:sz w:val="18"/>
          <w:szCs w:val="18"/>
          <w:lang w:eastAsia="en-AU"/>
        </w:rPr>
      </w:pPr>
      <w:r w:rsidRPr="00AC3728">
        <w:rPr>
          <w:rFonts w:ascii="Calibri" w:eastAsia="Times New Roman" w:hAnsi="Calibri" w:cs="Calibri"/>
          <w:color w:val="C00000"/>
          <w:szCs w:val="22"/>
          <w:lang w:eastAsia="en-AU"/>
        </w:rPr>
        <w:t> </w:t>
      </w:r>
    </w:p>
    <w:p w14:paraId="621BA64A" w14:textId="77777777" w:rsidR="00AC3728" w:rsidRDefault="00AC3728" w:rsidP="008F2552">
      <w:pPr>
        <w:suppressAutoHyphens w:val="0"/>
        <w:spacing w:before="0" w:after="0" w:line="240" w:lineRule="auto"/>
        <w:textAlignment w:val="baseline"/>
        <w:rPr>
          <w:rFonts w:ascii="Calibri" w:eastAsia="Times New Roman" w:hAnsi="Calibri" w:cs="Calibri"/>
          <w:color w:val="44546A"/>
          <w:szCs w:val="22"/>
          <w:lang w:val="en-GB" w:eastAsia="en-AU"/>
        </w:rPr>
      </w:pPr>
    </w:p>
    <w:p w14:paraId="65CB8162" w14:textId="77777777" w:rsidR="00AC3728" w:rsidRPr="008F2552" w:rsidRDefault="00AC3728" w:rsidP="008F2552">
      <w:pPr>
        <w:suppressAutoHyphens w:val="0"/>
        <w:spacing w:before="0" w:after="0" w:line="240" w:lineRule="auto"/>
        <w:textAlignment w:val="baseline"/>
        <w:rPr>
          <w:rFonts w:ascii="Segoe UI" w:eastAsia="Times New Roman" w:hAnsi="Segoe UI" w:cs="Segoe UI"/>
          <w:color w:val="44546A"/>
          <w:sz w:val="18"/>
          <w:szCs w:val="18"/>
          <w:lang w:eastAsia="en-AU"/>
        </w:rPr>
      </w:pPr>
    </w:p>
    <w:p w14:paraId="59E21822" w14:textId="6CDB4E15" w:rsidR="00B22C83" w:rsidRDefault="00B22C83">
      <w:pPr>
        <w:suppressAutoHyphens w:val="0"/>
        <w:spacing w:before="0" w:after="160" w:line="259" w:lineRule="auto"/>
        <w:rPr>
          <w:rFonts w:eastAsia="Calibri" w:cstheme="minorHAnsi"/>
        </w:rPr>
      </w:pPr>
      <w:r>
        <w:br w:type="page"/>
      </w:r>
    </w:p>
    <w:p w14:paraId="6BB41056" w14:textId="58A378AD" w:rsidR="00A909F2" w:rsidRDefault="00A909F2" w:rsidP="00A909F2">
      <w:pPr>
        <w:pStyle w:val="Heading2"/>
      </w:pPr>
      <w:r>
        <w:lastRenderedPageBreak/>
        <w:t xml:space="preserve">Annex 2 Checklist of requirements for monitoring, evaluation and learning in </w:t>
      </w:r>
      <w:r w:rsidRPr="00AC4825">
        <w:t>project and partnership</w:t>
      </w:r>
      <w:r>
        <w:t xml:space="preserve"> designs.</w:t>
      </w:r>
    </w:p>
    <w:p w14:paraId="75E39612" w14:textId="77777777" w:rsidR="00A909F2" w:rsidRDefault="00A909F2" w:rsidP="00A909F2">
      <w:pPr>
        <w:spacing w:after="120" w:line="259" w:lineRule="auto"/>
      </w:pPr>
      <w:r>
        <w:t>This annex provides a summary of the assessment checklist that will be used to assess the Monitoring. Evaluation and Learning within the design document.</w:t>
      </w:r>
    </w:p>
    <w:p w14:paraId="370120DC" w14:textId="77777777" w:rsidR="00A909F2" w:rsidRDefault="00A909F2" w:rsidP="00A909F2">
      <w:pPr>
        <w:pStyle w:val="Heading4"/>
        <w:rPr>
          <w:rStyle w:val="IntenseReference"/>
          <w:i/>
          <w:iCs/>
          <w:lang w:val="en-AU"/>
        </w:rPr>
      </w:pPr>
      <w:r w:rsidRPr="26134177">
        <w:rPr>
          <w:rStyle w:val="IntenseReference"/>
          <w:i/>
          <w:iCs/>
          <w:lang w:val="en-AU"/>
        </w:rPr>
        <w:t>Program Logic (PL)</w:t>
      </w:r>
    </w:p>
    <w:p w14:paraId="41565630" w14:textId="77777777" w:rsidR="00A909F2" w:rsidRDefault="00A909F2" w:rsidP="00A909F2">
      <w:pPr>
        <w:pStyle w:val="Checkboxemptybulletpoint"/>
        <w:rPr>
          <w:rStyle w:val="IntenseReference"/>
          <w:b w:val="0"/>
          <w:bCs w:val="0"/>
          <w:smallCaps w:val="0"/>
          <w:color w:val="313E48" w:themeColor="text1"/>
        </w:rPr>
      </w:pPr>
      <w:r w:rsidRPr="48035F03">
        <w:rPr>
          <w:rStyle w:val="IntenseReference"/>
          <w:b w:val="0"/>
          <w:bCs w:val="0"/>
          <w:smallCaps w:val="0"/>
          <w:color w:val="313E48" w:themeColor="text1"/>
        </w:rPr>
        <w:t xml:space="preserve">The design includes a program logic (diagram and supporting text) </w:t>
      </w:r>
    </w:p>
    <w:p w14:paraId="2835471B" w14:textId="77777777" w:rsidR="00A909F2" w:rsidRDefault="00A909F2" w:rsidP="00A909F2">
      <w:pPr>
        <w:pStyle w:val="Checkboxemptybulletpoint"/>
        <w:rPr>
          <w:rStyle w:val="IntenseReference"/>
          <w:b w:val="0"/>
          <w:bCs w:val="0"/>
          <w:smallCaps w:val="0"/>
          <w:color w:val="313E48" w:themeColor="text1"/>
        </w:rPr>
      </w:pPr>
      <w:r w:rsidRPr="48035F03">
        <w:rPr>
          <w:rStyle w:val="IntenseReference"/>
          <w:b w:val="0"/>
          <w:bCs w:val="0"/>
          <w:smallCaps w:val="0"/>
          <w:color w:val="313E48" w:themeColor="text1"/>
        </w:rPr>
        <w:t>T</w:t>
      </w:r>
      <w:r w:rsidRPr="48035F03">
        <w:rPr>
          <w:rStyle w:val="IntenseReference"/>
          <w:rFonts w:cstheme="minorBidi"/>
          <w:b w:val="0"/>
          <w:bCs w:val="0"/>
          <w:smallCaps w:val="0"/>
          <w:color w:val="313E48" w:themeColor="text1"/>
        </w:rPr>
        <w:t xml:space="preserve">he outcomes directly contribute to relevant EOPO(s) and IOs of the Partnerships for a Healthy Region initiative. </w:t>
      </w:r>
    </w:p>
    <w:p w14:paraId="1EF59E38" w14:textId="77777777" w:rsidR="00A909F2" w:rsidRDefault="00A909F2" w:rsidP="00A909F2">
      <w:pPr>
        <w:pStyle w:val="Checkboxemptybulletpoint"/>
        <w:rPr>
          <w:rStyle w:val="IntenseReference"/>
          <w:rFonts w:cstheme="minorBidi"/>
          <w:b w:val="0"/>
          <w:bCs w:val="0"/>
          <w:smallCaps w:val="0"/>
          <w:color w:val="313E48" w:themeColor="text1"/>
        </w:rPr>
      </w:pPr>
      <w:r w:rsidRPr="48035F03">
        <w:rPr>
          <w:rFonts w:ascii="Calibri Light" w:hAnsi="Calibri Light" w:cs="Calibri Light"/>
        </w:rPr>
        <w:t xml:space="preserve">The partner </w:t>
      </w:r>
      <w:r w:rsidRPr="48035F03">
        <w:rPr>
          <w:rStyle w:val="IntenseReference"/>
          <w:rFonts w:cstheme="minorBidi"/>
          <w:b w:val="0"/>
          <w:bCs w:val="0"/>
          <w:smallCaps w:val="0"/>
          <w:color w:val="313E48" w:themeColor="text1"/>
        </w:rPr>
        <w:t>PL includes outcomes designed to measure gender equality – these should include a vision of what success looks like from a gender equality perspective.</w:t>
      </w:r>
    </w:p>
    <w:p w14:paraId="4FC381CA" w14:textId="77777777" w:rsidR="00A909F2" w:rsidRDefault="00A909F2" w:rsidP="00A909F2">
      <w:pPr>
        <w:pStyle w:val="Checkboxemptybulletpoint"/>
        <w:rPr>
          <w:rStyle w:val="IntenseReference"/>
          <w:rFonts w:ascii="Calibri Light" w:hAnsi="Calibri Light" w:cstheme="minorBidi"/>
          <w:b w:val="0"/>
          <w:bCs w:val="0"/>
          <w:smallCaps w:val="0"/>
          <w:color w:val="313E48" w:themeColor="text1"/>
        </w:rPr>
      </w:pPr>
      <w:r w:rsidRPr="48035F03">
        <w:rPr>
          <w:rStyle w:val="IntenseReference"/>
          <w:rFonts w:ascii="Calibri Light" w:hAnsi="Calibri Light" w:cstheme="minorBidi"/>
          <w:b w:val="0"/>
          <w:bCs w:val="0"/>
          <w:smallCaps w:val="0"/>
          <w:color w:val="313E48" w:themeColor="text1"/>
        </w:rPr>
        <w:t>As relevant include outcomes relating to other cross-cutting priorities.</w:t>
      </w:r>
    </w:p>
    <w:p w14:paraId="1A570C1C" w14:textId="77777777" w:rsidR="00A909F2" w:rsidRPr="003A3BC7" w:rsidRDefault="00A909F2" w:rsidP="00A909F2">
      <w:pPr>
        <w:pStyle w:val="Checkboxemptybulletpoint"/>
        <w:rPr>
          <w:rStyle w:val="IntenseReference"/>
          <w:b w:val="0"/>
          <w:bCs w:val="0"/>
          <w:smallCaps w:val="0"/>
          <w:color w:val="313E48" w:themeColor="text1"/>
        </w:rPr>
      </w:pPr>
      <w:r w:rsidRPr="48035F03">
        <w:rPr>
          <w:rStyle w:val="IntenseReference"/>
          <w:rFonts w:ascii="Calibri Light" w:hAnsi="Calibri Light" w:cs="Calibri Light"/>
          <w:b w:val="0"/>
          <w:bCs w:val="0"/>
          <w:smallCaps w:val="0"/>
          <w:color w:val="313E48" w:themeColor="text1"/>
          <w:lang w:val="en-US"/>
        </w:rPr>
        <w:t>The partner PL includes outcome statements (not worded as activities)</w:t>
      </w:r>
    </w:p>
    <w:p w14:paraId="18784CF7" w14:textId="77777777" w:rsidR="00A909F2" w:rsidRDefault="00A909F2" w:rsidP="00A909F2">
      <w:pPr>
        <w:pStyle w:val="Checkboxemptybulletpoint"/>
        <w:rPr>
          <w:rStyle w:val="IntenseReference"/>
          <w:rFonts w:cstheme="minorBidi"/>
          <w:b w:val="0"/>
          <w:bCs w:val="0"/>
          <w:smallCaps w:val="0"/>
          <w:color w:val="313E48" w:themeColor="text1"/>
        </w:rPr>
      </w:pPr>
      <w:r w:rsidRPr="48035F03">
        <w:rPr>
          <w:rStyle w:val="IntenseReference"/>
          <w:rFonts w:cstheme="minorBidi"/>
          <w:b w:val="0"/>
          <w:bCs w:val="0"/>
          <w:smallCaps w:val="0"/>
          <w:color w:val="313D47"/>
        </w:rPr>
        <w:t>The program logic meets DFAT’s Standard 3: Program Logic / Theory of Change (refer to Annex 1)</w:t>
      </w:r>
    </w:p>
    <w:p w14:paraId="5A2D5B72" w14:textId="77777777" w:rsidR="00A909F2" w:rsidRDefault="00A909F2" w:rsidP="00A909F2">
      <w:pPr>
        <w:pStyle w:val="Heading4"/>
        <w:rPr>
          <w:rStyle w:val="IntenseReference"/>
          <w:i/>
          <w:iCs/>
          <w:lang w:val="en-AU"/>
        </w:rPr>
      </w:pPr>
      <w:r w:rsidRPr="39945DB7">
        <w:rPr>
          <w:rStyle w:val="IntenseReference"/>
          <w:i/>
          <w:iCs/>
          <w:lang w:val="en-AU"/>
        </w:rPr>
        <w:t>Monitoring and Evaluation Framework (draft)</w:t>
      </w:r>
    </w:p>
    <w:p w14:paraId="191A1BB4" w14:textId="215B725C" w:rsidR="00A909F2" w:rsidRDefault="00A909F2">
      <w:pPr>
        <w:pStyle w:val="Checkboxemptybulletpoint"/>
      </w:pPr>
      <w:r>
        <w:t>The draft ME</w:t>
      </w:r>
      <w:r w:rsidR="002F31F1">
        <w:t>L</w:t>
      </w:r>
      <w:r>
        <w:t xml:space="preserve">F reflects the outcomes in the program logic. </w:t>
      </w:r>
    </w:p>
    <w:p w14:paraId="19A58276" w14:textId="4C3F052B" w:rsidR="00A909F2" w:rsidRDefault="00A909F2">
      <w:pPr>
        <w:pStyle w:val="Checkboxemptybulletpoint"/>
      </w:pPr>
      <w:r w:rsidRPr="78130BE9">
        <w:t>The draft ME</w:t>
      </w:r>
      <w:r w:rsidR="002F31F1">
        <w:t>L</w:t>
      </w:r>
      <w:r w:rsidRPr="78130BE9">
        <w:t xml:space="preserve">F follow the guidance provided in Annex 2 and the DFAT MEL Standards. </w:t>
      </w:r>
    </w:p>
    <w:p w14:paraId="7D8AB9F0" w14:textId="421975D1" w:rsidR="00A909F2" w:rsidRDefault="00A909F2">
      <w:pPr>
        <w:pStyle w:val="Checkboxemptybulletpoint"/>
      </w:pPr>
      <w:r w:rsidRPr="78130BE9">
        <w:t>The draft ME</w:t>
      </w:r>
      <w:r w:rsidR="002F31F1">
        <w:t>L</w:t>
      </w:r>
      <w:r w:rsidRPr="78130BE9">
        <w:t>F uses relevant indicators (where partner outcomes contribute to PHR outcomes) from the PHR draft MEF</w:t>
      </w:r>
      <w:r w:rsidR="002F31F1">
        <w:t>s</w:t>
      </w:r>
      <w:r w:rsidR="007A6DCC">
        <w:t xml:space="preserve"> </w:t>
      </w:r>
      <w:r w:rsidR="009608D7">
        <w:t xml:space="preserve">(note </w:t>
      </w:r>
      <w:r w:rsidR="00360320">
        <w:t>that for</w:t>
      </w:r>
      <w:r w:rsidR="009608D7">
        <w:t xml:space="preserve"> PHR </w:t>
      </w:r>
      <w:r w:rsidR="00360320">
        <w:t>learning is presented in the PHR performance assessment framework).</w:t>
      </w:r>
    </w:p>
    <w:p w14:paraId="154CFAA7" w14:textId="09159D1D" w:rsidR="00A909F2" w:rsidRDefault="00A909F2" w:rsidP="005F3D62">
      <w:pPr>
        <w:pStyle w:val="Checkboxemptybulletpoint"/>
      </w:pPr>
      <w:r>
        <w:t>The partner draft ME</w:t>
      </w:r>
      <w:r w:rsidR="00EC078B">
        <w:t>L</w:t>
      </w:r>
      <w:r>
        <w:t xml:space="preserve">F includes indicators designed to measure gender equality, disability equity and social inclusion including – detail on how to report progress toward the GEDSI outcomes in the program logic and attention to capturing social norm change and outcomes for groups who experience marginalisation. </w:t>
      </w:r>
    </w:p>
    <w:p w14:paraId="4E0C1A8E" w14:textId="2737733F" w:rsidR="00A909F2" w:rsidRDefault="00A909F2" w:rsidP="00A909F2">
      <w:pPr>
        <w:pStyle w:val="Heading4"/>
        <w:rPr>
          <w:rStyle w:val="IntenseReference"/>
          <w:i/>
          <w:iCs/>
          <w:lang w:val="en-AU"/>
        </w:rPr>
      </w:pPr>
      <w:r w:rsidRPr="78130BE9">
        <w:rPr>
          <w:rStyle w:val="IntenseReference"/>
          <w:i/>
          <w:iCs/>
          <w:lang w:val="en-AU"/>
        </w:rPr>
        <w:t xml:space="preserve">Brief description of a MEL system </w:t>
      </w:r>
    </w:p>
    <w:p w14:paraId="4163A8DB" w14:textId="77777777" w:rsidR="00A909F2" w:rsidRPr="000C1397" w:rsidRDefault="00A909F2">
      <w:pPr>
        <w:pStyle w:val="Checkboxemptybulletpoint"/>
      </w:pPr>
      <w:r>
        <w:t xml:space="preserve">The design will include a brief description of how a MEL system will be implemented as above. </w:t>
      </w:r>
    </w:p>
    <w:p w14:paraId="2751A949" w14:textId="77777777" w:rsidR="00A909F2" w:rsidRDefault="00A909F2">
      <w:pPr>
        <w:pStyle w:val="Checkboxemptybulletpoint"/>
      </w:pPr>
      <w:r>
        <w:t>Adequate resources (personnel and financial) are allocated to MEL in the budget.</w:t>
      </w:r>
    </w:p>
    <w:p w14:paraId="02D81331" w14:textId="77777777" w:rsidR="00A909F2" w:rsidRDefault="00A909F2" w:rsidP="005F3D62">
      <w:pPr>
        <w:pStyle w:val="Checkboxemptybulletpoint"/>
        <w:numPr>
          <w:ilvl w:val="0"/>
          <w:numId w:val="0"/>
        </w:numPr>
        <w:ind w:left="360"/>
      </w:pPr>
    </w:p>
    <w:p w14:paraId="50A0628D" w14:textId="77777777" w:rsidR="00A909F2" w:rsidRDefault="00A909F2">
      <w:pPr>
        <w:suppressAutoHyphens w:val="0"/>
        <w:spacing w:before="0" w:after="160" w:line="259" w:lineRule="auto"/>
        <w:rPr>
          <w:rFonts w:eastAsiaTheme="majorEastAsia"/>
          <w:b/>
          <w:bCs/>
          <w:color w:val="00837C" w:themeColor="accent1"/>
          <w:sz w:val="40"/>
          <w:szCs w:val="26"/>
        </w:rPr>
      </w:pPr>
      <w:r>
        <w:br w:type="page"/>
      </w:r>
    </w:p>
    <w:p w14:paraId="2F96EADB" w14:textId="4E0FEF54" w:rsidR="003A3BC7" w:rsidRPr="00183743" w:rsidRDefault="2BE6849C" w:rsidP="00A909F2">
      <w:pPr>
        <w:pStyle w:val="Heading2"/>
      </w:pPr>
      <w:r>
        <w:lastRenderedPageBreak/>
        <w:t xml:space="preserve">Annex </w:t>
      </w:r>
      <w:r w:rsidR="00A909F2">
        <w:t>3</w:t>
      </w:r>
      <w:r>
        <w:t xml:space="preserve"> </w:t>
      </w:r>
      <w:r w:rsidR="426E3ED3">
        <w:t xml:space="preserve">- </w:t>
      </w:r>
      <w:r>
        <w:t>Monitoring, Evaluation and Learning Plan</w:t>
      </w:r>
    </w:p>
    <w:p w14:paraId="7B0E7A89" w14:textId="572D740D" w:rsidR="003A3BC7" w:rsidRPr="00EC34CF" w:rsidRDefault="6D5F4258" w:rsidP="39945DB7">
      <w:pPr>
        <w:pStyle w:val="paragraph"/>
        <w:spacing w:before="120" w:beforeAutospacing="0" w:after="0" w:afterAutospacing="0"/>
        <w:textAlignment w:val="baseline"/>
        <w:rPr>
          <w:rFonts w:asciiTheme="minorHAnsi" w:eastAsiaTheme="minorEastAsia" w:hAnsiTheme="minorHAnsi" w:cstheme="majorBidi"/>
          <w:i/>
          <w:iCs/>
          <w:color w:val="313E48" w:themeColor="text1"/>
          <w:sz w:val="22"/>
          <w:szCs w:val="22"/>
          <w:lang w:eastAsia="en-US"/>
        </w:rPr>
      </w:pPr>
      <w:r w:rsidRPr="00EC34CF">
        <w:rPr>
          <w:rFonts w:asciiTheme="minorHAnsi" w:eastAsiaTheme="minorEastAsia" w:hAnsiTheme="minorHAnsi" w:cstheme="majorBidi"/>
          <w:i/>
          <w:iCs/>
          <w:color w:val="313D47"/>
          <w:sz w:val="22"/>
          <w:szCs w:val="22"/>
          <w:lang w:eastAsia="en-US"/>
        </w:rPr>
        <w:t xml:space="preserve">A </w:t>
      </w:r>
      <w:r w:rsidR="7949D287" w:rsidRPr="00EC34CF">
        <w:rPr>
          <w:rFonts w:asciiTheme="minorHAnsi" w:eastAsiaTheme="minorEastAsia" w:hAnsiTheme="minorHAnsi" w:cstheme="majorBidi"/>
          <w:i/>
          <w:iCs/>
          <w:color w:val="313D47"/>
          <w:sz w:val="22"/>
          <w:szCs w:val="22"/>
          <w:lang w:eastAsia="en-US"/>
        </w:rPr>
        <w:t>monitoring, evaluation and learning plan (MEL Plan)</w:t>
      </w:r>
      <w:r w:rsidRPr="00EC34CF">
        <w:rPr>
          <w:rFonts w:asciiTheme="minorHAnsi" w:eastAsiaTheme="minorEastAsia" w:hAnsiTheme="minorHAnsi" w:cstheme="majorBidi"/>
          <w:i/>
          <w:iCs/>
          <w:color w:val="313D47"/>
          <w:sz w:val="22"/>
          <w:szCs w:val="22"/>
          <w:lang w:eastAsia="en-US"/>
        </w:rPr>
        <w:t xml:space="preserve"> describes the </w:t>
      </w:r>
      <w:r w:rsidR="3CBCD159" w:rsidRPr="00EC34CF">
        <w:rPr>
          <w:rFonts w:asciiTheme="minorHAnsi" w:eastAsiaTheme="minorEastAsia" w:hAnsiTheme="minorHAnsi" w:cstheme="majorBidi"/>
          <w:i/>
          <w:iCs/>
          <w:color w:val="313D47"/>
          <w:sz w:val="22"/>
          <w:szCs w:val="22"/>
          <w:lang w:eastAsia="en-US"/>
        </w:rPr>
        <w:t>partner’s</w:t>
      </w:r>
      <w:r w:rsidR="5D8F0109" w:rsidRPr="00EC34CF">
        <w:rPr>
          <w:rFonts w:asciiTheme="minorHAnsi" w:eastAsiaTheme="minorEastAsia" w:hAnsiTheme="minorHAnsi" w:cstheme="majorBidi"/>
          <w:i/>
          <w:iCs/>
          <w:color w:val="313D47"/>
          <w:sz w:val="22"/>
          <w:szCs w:val="22"/>
          <w:lang w:eastAsia="en-US"/>
        </w:rPr>
        <w:t xml:space="preserve"> </w:t>
      </w:r>
      <w:r w:rsidRPr="00EC34CF">
        <w:rPr>
          <w:rFonts w:asciiTheme="minorHAnsi" w:eastAsiaTheme="minorEastAsia" w:hAnsiTheme="minorHAnsi" w:cstheme="majorBidi"/>
          <w:i/>
          <w:iCs/>
          <w:color w:val="313D47"/>
          <w:sz w:val="22"/>
          <w:szCs w:val="22"/>
          <w:lang w:eastAsia="en-US"/>
        </w:rPr>
        <w:t xml:space="preserve">MEL system. </w:t>
      </w:r>
      <w:r w:rsidR="007D7975" w:rsidRPr="00EC34CF">
        <w:rPr>
          <w:rFonts w:asciiTheme="minorHAnsi" w:eastAsiaTheme="minorEastAsia" w:hAnsiTheme="minorHAnsi" w:cstheme="majorBidi"/>
          <w:i/>
          <w:iCs/>
          <w:color w:val="313D47"/>
          <w:sz w:val="22"/>
          <w:szCs w:val="22"/>
          <w:lang w:eastAsia="en-US"/>
        </w:rPr>
        <w:t xml:space="preserve">The MEL Plan is a contract milestone </w:t>
      </w:r>
      <w:r w:rsidR="25AD0E12" w:rsidRPr="00EC34CF">
        <w:rPr>
          <w:rFonts w:asciiTheme="minorHAnsi" w:eastAsiaTheme="minorEastAsia" w:hAnsiTheme="minorHAnsi" w:cstheme="majorBidi"/>
          <w:i/>
          <w:iCs/>
          <w:color w:val="313D47"/>
          <w:sz w:val="22"/>
          <w:szCs w:val="22"/>
          <w:lang w:eastAsia="en-US"/>
        </w:rPr>
        <w:t>submit</w:t>
      </w:r>
      <w:r w:rsidR="007D7975" w:rsidRPr="00EC34CF">
        <w:rPr>
          <w:rFonts w:asciiTheme="minorHAnsi" w:eastAsiaTheme="minorEastAsia" w:hAnsiTheme="minorHAnsi" w:cstheme="majorBidi"/>
          <w:i/>
          <w:iCs/>
          <w:color w:val="313D47"/>
          <w:sz w:val="22"/>
          <w:szCs w:val="22"/>
          <w:lang w:eastAsia="en-US"/>
        </w:rPr>
        <w:t xml:space="preserve">ted within six months of contracting and </w:t>
      </w:r>
      <w:r w:rsidR="25AD0E12" w:rsidRPr="00EC34CF">
        <w:rPr>
          <w:rFonts w:asciiTheme="minorHAnsi" w:eastAsiaTheme="minorEastAsia" w:hAnsiTheme="minorHAnsi" w:cstheme="majorBidi"/>
          <w:i/>
          <w:iCs/>
          <w:color w:val="313D47"/>
          <w:sz w:val="22"/>
          <w:szCs w:val="22"/>
          <w:lang w:eastAsia="en-US"/>
        </w:rPr>
        <w:t xml:space="preserve">not required in the </w:t>
      </w:r>
      <w:r w:rsidR="008F0F67" w:rsidRPr="00EC34CF">
        <w:rPr>
          <w:rFonts w:asciiTheme="minorHAnsi" w:eastAsiaTheme="minorEastAsia" w:hAnsiTheme="minorHAnsi" w:cstheme="majorBidi"/>
          <w:i/>
          <w:iCs/>
          <w:color w:val="313D47"/>
          <w:sz w:val="22"/>
          <w:szCs w:val="22"/>
          <w:lang w:eastAsia="en-US"/>
        </w:rPr>
        <w:t xml:space="preserve">partner-led </w:t>
      </w:r>
      <w:r w:rsidR="25AD0E12" w:rsidRPr="00EC34CF">
        <w:rPr>
          <w:rFonts w:asciiTheme="minorHAnsi" w:eastAsiaTheme="minorEastAsia" w:hAnsiTheme="minorHAnsi" w:cstheme="majorBidi"/>
          <w:i/>
          <w:iCs/>
          <w:color w:val="313D47"/>
          <w:sz w:val="22"/>
          <w:szCs w:val="22"/>
          <w:lang w:eastAsia="en-US"/>
        </w:rPr>
        <w:t>design. Standard 5: Monitoring</w:t>
      </w:r>
      <w:r w:rsidR="70FDE218" w:rsidRPr="00EC34CF">
        <w:rPr>
          <w:rFonts w:asciiTheme="minorHAnsi" w:eastAsiaTheme="minorEastAsia" w:hAnsiTheme="minorHAnsi" w:cstheme="majorBidi"/>
          <w:i/>
          <w:iCs/>
          <w:color w:val="313D47"/>
          <w:sz w:val="22"/>
          <w:szCs w:val="22"/>
          <w:lang w:eastAsia="en-US"/>
        </w:rPr>
        <w:t>,</w:t>
      </w:r>
      <w:r w:rsidR="25AD0E12" w:rsidRPr="00EC34CF">
        <w:rPr>
          <w:rFonts w:asciiTheme="minorHAnsi" w:eastAsiaTheme="minorEastAsia" w:hAnsiTheme="minorHAnsi" w:cstheme="majorBidi"/>
          <w:i/>
          <w:iCs/>
          <w:color w:val="313D47"/>
          <w:sz w:val="22"/>
          <w:szCs w:val="22"/>
          <w:lang w:eastAsia="en-US"/>
        </w:rPr>
        <w:t xml:space="preserve"> Evaluation</w:t>
      </w:r>
      <w:r w:rsidR="1C384B92" w:rsidRPr="00EC34CF">
        <w:rPr>
          <w:rFonts w:asciiTheme="minorHAnsi" w:eastAsiaTheme="minorEastAsia" w:hAnsiTheme="minorHAnsi" w:cstheme="majorBidi"/>
          <w:i/>
          <w:iCs/>
          <w:color w:val="313D47"/>
          <w:sz w:val="22"/>
          <w:szCs w:val="22"/>
          <w:lang w:eastAsia="en-US"/>
        </w:rPr>
        <w:t xml:space="preserve"> and Learning</w:t>
      </w:r>
      <w:r w:rsidR="25AD0E12" w:rsidRPr="00EC34CF">
        <w:rPr>
          <w:rFonts w:asciiTheme="minorHAnsi" w:eastAsiaTheme="minorEastAsia" w:hAnsiTheme="minorHAnsi" w:cstheme="majorBidi"/>
          <w:i/>
          <w:iCs/>
          <w:color w:val="313D47"/>
          <w:sz w:val="22"/>
          <w:szCs w:val="22"/>
          <w:lang w:eastAsia="en-US"/>
        </w:rPr>
        <w:t xml:space="preserve"> (ME</w:t>
      </w:r>
      <w:r w:rsidR="2DBEC1B7" w:rsidRPr="00EC34CF">
        <w:rPr>
          <w:rFonts w:asciiTheme="minorHAnsi" w:eastAsiaTheme="minorEastAsia" w:hAnsiTheme="minorHAnsi" w:cstheme="majorBidi"/>
          <w:i/>
          <w:iCs/>
          <w:color w:val="313D47"/>
          <w:sz w:val="22"/>
          <w:szCs w:val="22"/>
          <w:lang w:eastAsia="en-US"/>
        </w:rPr>
        <w:t>L</w:t>
      </w:r>
      <w:r w:rsidR="25AD0E12" w:rsidRPr="00EC34CF">
        <w:rPr>
          <w:rFonts w:asciiTheme="minorHAnsi" w:eastAsiaTheme="minorEastAsia" w:hAnsiTheme="minorHAnsi" w:cstheme="majorBidi"/>
          <w:i/>
          <w:iCs/>
          <w:color w:val="313D47"/>
          <w:sz w:val="22"/>
          <w:szCs w:val="22"/>
          <w:lang w:eastAsia="en-US"/>
        </w:rPr>
        <w:t>) Plan and System for details on what will be expected</w:t>
      </w:r>
      <w:r w:rsidRPr="00EC34CF">
        <w:rPr>
          <w:rFonts w:asciiTheme="minorHAnsi" w:eastAsiaTheme="minorEastAsia" w:hAnsiTheme="minorHAnsi" w:cstheme="majorBidi"/>
          <w:i/>
          <w:iCs/>
          <w:color w:val="313D47"/>
          <w:sz w:val="22"/>
          <w:szCs w:val="22"/>
          <w:lang w:eastAsia="en-US"/>
        </w:rPr>
        <w:t>.</w:t>
      </w:r>
    </w:p>
    <w:p w14:paraId="2A093BDA" w14:textId="5580C7DF" w:rsidR="00183743" w:rsidRPr="00EC34CF" w:rsidRDefault="00210EE2" w:rsidP="26134177">
      <w:pPr>
        <w:pStyle w:val="paragraph"/>
        <w:spacing w:before="120" w:beforeAutospacing="0" w:after="0" w:afterAutospacing="0"/>
        <w:textAlignment w:val="baseline"/>
        <w:rPr>
          <w:rFonts w:asciiTheme="minorHAnsi" w:eastAsiaTheme="minorEastAsia" w:hAnsiTheme="minorHAnsi" w:cstheme="majorBidi"/>
          <w:i/>
          <w:iCs/>
          <w:color w:val="313E48" w:themeColor="text1"/>
          <w:sz w:val="22"/>
          <w:szCs w:val="22"/>
          <w:lang w:eastAsia="en-US"/>
        </w:rPr>
      </w:pPr>
      <w:r w:rsidRPr="00EC34CF">
        <w:rPr>
          <w:rFonts w:asciiTheme="minorHAnsi" w:eastAsiaTheme="minorEastAsia" w:hAnsiTheme="minorHAnsi" w:cstheme="majorBidi"/>
          <w:i/>
          <w:iCs/>
          <w:color w:val="313D47"/>
          <w:sz w:val="22"/>
          <w:szCs w:val="22"/>
          <w:lang w:eastAsia="en-US"/>
        </w:rPr>
        <w:t xml:space="preserve">This annex provides an annotated template </w:t>
      </w:r>
      <w:r w:rsidR="00183743" w:rsidRPr="00EC34CF">
        <w:rPr>
          <w:rFonts w:asciiTheme="minorHAnsi" w:eastAsiaTheme="minorEastAsia" w:hAnsiTheme="minorHAnsi" w:cstheme="majorBidi"/>
          <w:i/>
          <w:iCs/>
          <w:color w:val="313D47"/>
          <w:sz w:val="22"/>
          <w:szCs w:val="22"/>
          <w:lang w:eastAsia="en-US"/>
        </w:rPr>
        <w:t>with guidance and reference to DFAT standards</w:t>
      </w:r>
      <w:r w:rsidR="003A3BC7" w:rsidRPr="00EC34CF">
        <w:rPr>
          <w:rFonts w:asciiTheme="minorHAnsi" w:eastAsiaTheme="minorEastAsia" w:hAnsiTheme="minorHAnsi" w:cstheme="majorBidi"/>
          <w:i/>
          <w:iCs/>
          <w:color w:val="313D47"/>
          <w:sz w:val="22"/>
          <w:szCs w:val="22"/>
          <w:lang w:eastAsia="en-US"/>
        </w:rPr>
        <w:t>, particularly Standard 5</w:t>
      </w:r>
      <w:r w:rsidR="00183743" w:rsidRPr="00EC34CF">
        <w:rPr>
          <w:rFonts w:asciiTheme="minorHAnsi" w:eastAsiaTheme="minorEastAsia" w:hAnsiTheme="minorHAnsi" w:cstheme="majorBidi"/>
          <w:i/>
          <w:iCs/>
          <w:color w:val="313D47"/>
          <w:sz w:val="22"/>
          <w:szCs w:val="22"/>
          <w:lang w:eastAsia="en-US"/>
        </w:rPr>
        <w:t>. The MEL Plan should be a standalone document.</w:t>
      </w:r>
      <w:r w:rsidRPr="00EC34CF">
        <w:rPr>
          <w:rFonts w:asciiTheme="minorHAnsi" w:eastAsiaTheme="minorEastAsia" w:hAnsiTheme="minorHAnsi" w:cstheme="majorBidi"/>
          <w:i/>
          <w:iCs/>
          <w:color w:val="313D47"/>
          <w:sz w:val="22"/>
          <w:szCs w:val="22"/>
          <w:lang w:eastAsia="en-US"/>
        </w:rPr>
        <w:t xml:space="preserve"> We recognise that partners may have their own MEL Plan templates which they prefer to use.</w:t>
      </w:r>
    </w:p>
    <w:p w14:paraId="0F9777D0" w14:textId="5EC3C321" w:rsidR="00183743" w:rsidRPr="00EC34CF" w:rsidRDefault="25AD0E12" w:rsidP="39945DB7">
      <w:pPr>
        <w:pStyle w:val="paragraph"/>
        <w:spacing w:before="120" w:beforeAutospacing="0" w:after="0" w:afterAutospacing="0"/>
        <w:textAlignment w:val="baseline"/>
        <w:rPr>
          <w:rFonts w:asciiTheme="minorHAnsi" w:eastAsiaTheme="minorEastAsia" w:hAnsiTheme="minorHAnsi" w:cstheme="majorBidi"/>
          <w:i/>
          <w:iCs/>
          <w:color w:val="313E48" w:themeColor="text1"/>
          <w:sz w:val="22"/>
          <w:szCs w:val="22"/>
          <w:lang w:eastAsia="en-US"/>
        </w:rPr>
      </w:pPr>
      <w:r w:rsidRPr="00EC34CF">
        <w:rPr>
          <w:rFonts w:asciiTheme="minorHAnsi" w:eastAsiaTheme="minorEastAsia" w:hAnsiTheme="minorHAnsi" w:cstheme="majorBidi"/>
          <w:i/>
          <w:iCs/>
          <w:color w:val="313E48" w:themeColor="text1"/>
          <w:sz w:val="22"/>
          <w:szCs w:val="22"/>
          <w:lang w:eastAsia="en-US"/>
        </w:rPr>
        <w:t>During the inception phase</w:t>
      </w:r>
      <w:r w:rsidR="00B51934" w:rsidRPr="00EC34CF">
        <w:rPr>
          <w:rFonts w:asciiTheme="minorHAnsi" w:eastAsiaTheme="minorEastAsia" w:hAnsiTheme="minorHAnsi" w:cstheme="majorBidi"/>
          <w:i/>
          <w:iCs/>
          <w:color w:val="313E48" w:themeColor="text1"/>
          <w:sz w:val="22"/>
          <w:szCs w:val="22"/>
          <w:lang w:eastAsia="en-US"/>
        </w:rPr>
        <w:t xml:space="preserve"> (first six months of the program)</w:t>
      </w:r>
      <w:r w:rsidRPr="00EC34CF">
        <w:rPr>
          <w:rFonts w:asciiTheme="minorHAnsi" w:eastAsiaTheme="minorEastAsia" w:hAnsiTheme="minorHAnsi" w:cstheme="majorBidi"/>
          <w:i/>
          <w:iCs/>
          <w:color w:val="313E48" w:themeColor="text1"/>
          <w:sz w:val="22"/>
          <w:szCs w:val="22"/>
          <w:lang w:eastAsia="en-US"/>
        </w:rPr>
        <w:t xml:space="preserve">, DFAT will work with partners to finalise key indicators to measure progress against the initiative’s outcomes. The indicators list will include indicators to measure outcomes related to gender equality, disability, and social inclusion (GEDSI), community engagement and – where relevant – reporting on climate change, One </w:t>
      </w:r>
      <w:r w:rsidR="0FAAE801" w:rsidRPr="00EC34CF">
        <w:rPr>
          <w:rFonts w:asciiTheme="minorHAnsi" w:eastAsiaTheme="minorEastAsia" w:hAnsiTheme="minorHAnsi" w:cstheme="majorBidi"/>
          <w:i/>
          <w:iCs/>
          <w:color w:val="313E48" w:themeColor="text1"/>
          <w:sz w:val="22"/>
          <w:szCs w:val="22"/>
          <w:lang w:eastAsia="en-US"/>
        </w:rPr>
        <w:t>Health,</w:t>
      </w:r>
      <w:r w:rsidRPr="00EC34CF">
        <w:rPr>
          <w:rFonts w:asciiTheme="minorHAnsi" w:eastAsiaTheme="minorEastAsia" w:hAnsiTheme="minorHAnsi" w:cstheme="majorBidi"/>
          <w:i/>
          <w:iCs/>
          <w:color w:val="313E48" w:themeColor="text1"/>
          <w:sz w:val="22"/>
          <w:szCs w:val="22"/>
          <w:lang w:eastAsia="en-US"/>
        </w:rPr>
        <w:t xml:space="preserve"> and engagement of Australia’s First Nations Peoples in the delivery of activities.  </w:t>
      </w:r>
    </w:p>
    <w:p w14:paraId="4A6364ED" w14:textId="38F9BC30" w:rsidR="003A3BC7" w:rsidRPr="003A3BC7" w:rsidRDefault="003A3BC7" w:rsidP="003A3BC7">
      <w:pPr>
        <w:pStyle w:val="Heading4"/>
        <w:rPr>
          <w:sz w:val="40"/>
          <w:szCs w:val="40"/>
        </w:rPr>
      </w:pPr>
      <w:r w:rsidRPr="003A3BC7">
        <w:rPr>
          <w:sz w:val="40"/>
          <w:szCs w:val="40"/>
        </w:rPr>
        <w:t>Suggested Template</w:t>
      </w:r>
    </w:p>
    <w:p w14:paraId="1EFC033F" w14:textId="07079ECA" w:rsidR="00014346" w:rsidRPr="00BC41AB" w:rsidRDefault="00014346" w:rsidP="003A3BC7">
      <w:pPr>
        <w:pStyle w:val="Heading4"/>
      </w:pPr>
      <w:r w:rsidRPr="00BC41AB">
        <w:t xml:space="preserve">Contents </w:t>
      </w:r>
    </w:p>
    <w:p w14:paraId="45155D15" w14:textId="77777777" w:rsidR="00014346" w:rsidRPr="00BC41AB" w:rsidRDefault="00014346" w:rsidP="003A3BC7">
      <w:pPr>
        <w:pStyle w:val="Heading4"/>
      </w:pPr>
      <w:r w:rsidRPr="00BC41AB">
        <w:t xml:space="preserve">Purpose and </w:t>
      </w:r>
      <w:r>
        <w:t>s</w:t>
      </w:r>
      <w:r w:rsidRPr="00BC41AB">
        <w:t>cop</w:t>
      </w:r>
      <w:r>
        <w:t>e</w:t>
      </w:r>
    </w:p>
    <w:p w14:paraId="5FA0B642" w14:textId="77777777" w:rsidR="00014346" w:rsidRPr="008A50D0" w:rsidRDefault="00014346" w:rsidP="00014346">
      <w:pPr>
        <w:spacing w:before="60" w:after="60"/>
        <w:rPr>
          <w:b/>
          <w:bCs/>
          <w:i/>
          <w:iCs/>
        </w:rPr>
      </w:pPr>
      <w:r w:rsidRPr="008A50D0">
        <w:rPr>
          <w:b/>
          <w:bCs/>
          <w:i/>
          <w:iCs/>
        </w:rPr>
        <w:t>Ref 5.1</w:t>
      </w:r>
    </w:p>
    <w:p w14:paraId="337CF4B1" w14:textId="77777777" w:rsidR="00014346" w:rsidRDefault="00014346" w:rsidP="00014346">
      <w:pPr>
        <w:spacing w:before="60" w:after="60"/>
        <w:rPr>
          <w:i/>
          <w:iCs/>
        </w:rPr>
      </w:pPr>
      <w:r w:rsidRPr="00925FB0">
        <w:rPr>
          <w:i/>
          <w:iCs/>
        </w:rPr>
        <w:t>Include a statement of the purpose of the MEL Plan</w:t>
      </w:r>
      <w:r>
        <w:rPr>
          <w:i/>
          <w:iCs/>
        </w:rPr>
        <w:t xml:space="preserve">, e.g., to outline to MEL system.  </w:t>
      </w:r>
    </w:p>
    <w:p w14:paraId="5BC407A9" w14:textId="77777777" w:rsidR="00014346" w:rsidRDefault="00014346" w:rsidP="00014346">
      <w:pPr>
        <w:spacing w:before="60" w:after="60" w:line="250" w:lineRule="auto"/>
        <w:rPr>
          <w:i/>
          <w:iCs/>
        </w:rPr>
      </w:pPr>
      <w:r w:rsidRPr="72E7587C">
        <w:rPr>
          <w:i/>
          <w:iCs/>
        </w:rPr>
        <w:t xml:space="preserve">The scope includes what the plan will measure. Provide a clear description of what will be measured (monitored and evaluated) linked to the Theory of Change / Program Logic. Clearly state what the program is accountable to achieve – e.g., the EOPOs.  </w:t>
      </w:r>
    </w:p>
    <w:p w14:paraId="0A66C4AD" w14:textId="77777777" w:rsidR="00014346" w:rsidRPr="00925FB0" w:rsidRDefault="00014346" w:rsidP="00014346">
      <w:pPr>
        <w:spacing w:before="60" w:after="60"/>
        <w:rPr>
          <w:b/>
          <w:bCs/>
          <w:i/>
          <w:iCs/>
        </w:rPr>
      </w:pPr>
      <w:r>
        <w:rPr>
          <w:i/>
          <w:iCs/>
        </w:rPr>
        <w:t>I</w:t>
      </w:r>
      <w:r w:rsidRPr="00925FB0">
        <w:rPr>
          <w:i/>
          <w:iCs/>
        </w:rPr>
        <w:t xml:space="preserve">nclude the </w:t>
      </w:r>
      <w:r>
        <w:rPr>
          <w:i/>
          <w:iCs/>
        </w:rPr>
        <w:t xml:space="preserve">program </w:t>
      </w:r>
      <w:r w:rsidRPr="00925FB0">
        <w:rPr>
          <w:i/>
          <w:iCs/>
        </w:rPr>
        <w:t>value, start, and end dates, and any other useful information</w:t>
      </w:r>
      <w:r>
        <w:rPr>
          <w:i/>
          <w:iCs/>
        </w:rPr>
        <w:t xml:space="preserve">. </w:t>
      </w:r>
    </w:p>
    <w:p w14:paraId="2393D201" w14:textId="77777777" w:rsidR="00014346" w:rsidRPr="0093656B" w:rsidRDefault="00014346" w:rsidP="003A3BC7">
      <w:pPr>
        <w:pStyle w:val="Heading4"/>
      </w:pPr>
      <w:r w:rsidRPr="0093656B">
        <w:t xml:space="preserve">MEL </w:t>
      </w:r>
      <w:r>
        <w:t>P</w:t>
      </w:r>
      <w:r w:rsidRPr="0093656B">
        <w:t xml:space="preserve">rinciples </w:t>
      </w:r>
    </w:p>
    <w:p w14:paraId="170DB66F" w14:textId="748BE61A" w:rsidR="00014346" w:rsidRPr="00EC34CF" w:rsidRDefault="16AB8504" w:rsidP="00EC34CF">
      <w:pPr>
        <w:pStyle w:val="Listparagraph-bullets-secondlevel"/>
      </w:pPr>
      <w:r w:rsidRPr="00EC34CF">
        <w:t>Describe the most important principles will guide your MEL work, and how they will be implemented. For example, how might the MEL system support engagement with program participants</w:t>
      </w:r>
      <w:r w:rsidR="003A3BC7" w:rsidRPr="00EC34CF">
        <w:t xml:space="preserve">. </w:t>
      </w:r>
      <w:r w:rsidRPr="00EC34CF">
        <w:t xml:space="preserve">Refer to </w:t>
      </w:r>
      <w:r w:rsidR="63692819" w:rsidRPr="00EC34CF">
        <w:t xml:space="preserve">DFAT’s </w:t>
      </w:r>
      <w:hyperlink r:id="rId17">
        <w:r w:rsidR="67E9244A" w:rsidRPr="00EC34CF">
          <w:rPr>
            <w:b/>
            <w:bCs/>
            <w:color w:val="00837C" w:themeColor="accent1"/>
          </w:rPr>
          <w:t>Ethical Research and Evaluation Guidance Note.</w:t>
        </w:r>
      </w:hyperlink>
      <w:r w:rsidR="0054373A" w:rsidRPr="00EC34CF">
        <w:t xml:space="preserve">  </w:t>
      </w:r>
    </w:p>
    <w:p w14:paraId="041C8317" w14:textId="77777777" w:rsidR="00014346" w:rsidRPr="0093656B" w:rsidRDefault="00014346" w:rsidP="003A3BC7">
      <w:pPr>
        <w:pStyle w:val="Heading4"/>
      </w:pPr>
      <w:r w:rsidRPr="0093656B">
        <w:t xml:space="preserve">Users of </w:t>
      </w:r>
      <w:r>
        <w:t>the MEL system</w:t>
      </w:r>
    </w:p>
    <w:p w14:paraId="54DDB6C3" w14:textId="77777777" w:rsidR="00014346" w:rsidRPr="008A50D0" w:rsidRDefault="00014346" w:rsidP="00014346">
      <w:pPr>
        <w:spacing w:before="60" w:after="60"/>
        <w:rPr>
          <w:b/>
          <w:bCs/>
          <w:i/>
          <w:iCs/>
        </w:rPr>
      </w:pPr>
      <w:r w:rsidRPr="00846C8D">
        <w:rPr>
          <w:b/>
          <w:bCs/>
          <w:i/>
          <w:iCs/>
        </w:rPr>
        <w:t>Ref</w:t>
      </w:r>
      <w:r w:rsidRPr="00270FF1">
        <w:rPr>
          <w:b/>
          <w:bCs/>
          <w:i/>
          <w:iCs/>
        </w:rPr>
        <w:t xml:space="preserve"> 5.6</w:t>
      </w:r>
      <w:r>
        <w:rPr>
          <w:b/>
          <w:bCs/>
          <w:i/>
          <w:iCs/>
        </w:rPr>
        <w:t>, 5.17, 5.18, 5.32</w:t>
      </w:r>
    </w:p>
    <w:p w14:paraId="58B93386" w14:textId="77777777" w:rsidR="00014346" w:rsidRDefault="00014346" w:rsidP="00014346">
      <w:pPr>
        <w:spacing w:before="60" w:after="60" w:line="250" w:lineRule="auto"/>
        <w:rPr>
          <w:i/>
          <w:iCs/>
        </w:rPr>
      </w:pPr>
      <w:r>
        <w:rPr>
          <w:i/>
          <w:iCs/>
        </w:rPr>
        <w:t xml:space="preserve">Identify who is expected to use the MEL system and the information it provides. DFAT is one stakeholder, however, the MEL system should be primarily oriented to the needs of the program team and stakeholders. Consider partner governments, program participants, and other users. </w:t>
      </w:r>
    </w:p>
    <w:p w14:paraId="53FA8FF8" w14:textId="77777777" w:rsidR="00014346" w:rsidRPr="00BC41AB" w:rsidRDefault="00014346" w:rsidP="003A3BC7">
      <w:pPr>
        <w:pStyle w:val="Heading4"/>
      </w:pPr>
      <w:r>
        <w:t>Program Logic</w:t>
      </w:r>
      <w:r w:rsidRPr="00BC41AB">
        <w:t xml:space="preserve">  </w:t>
      </w:r>
    </w:p>
    <w:p w14:paraId="4E71F356" w14:textId="2213DAFA" w:rsidR="00014346" w:rsidRDefault="16AB8504" w:rsidP="26134177">
      <w:pPr>
        <w:spacing w:before="60" w:after="60"/>
        <w:rPr>
          <w:i/>
          <w:iCs/>
        </w:rPr>
      </w:pPr>
      <w:r w:rsidRPr="26134177">
        <w:rPr>
          <w:b/>
          <w:bCs/>
          <w:i/>
          <w:iCs/>
        </w:rPr>
        <w:t>Ref Standard 3</w:t>
      </w:r>
      <w:r w:rsidRPr="26134177">
        <w:rPr>
          <w:i/>
          <w:iCs/>
        </w:rPr>
        <w:t xml:space="preserve"> (Program Logics) for the requirements for a Program Logic (or Theory of Change). The Program Logic should articulate the proposition of how </w:t>
      </w:r>
      <w:r w:rsidR="1E3992A5" w:rsidRPr="26134177">
        <w:rPr>
          <w:i/>
          <w:iCs/>
        </w:rPr>
        <w:t>the p</w:t>
      </w:r>
      <w:r w:rsidRPr="26134177">
        <w:rPr>
          <w:i/>
          <w:iCs/>
        </w:rPr>
        <w:t xml:space="preserve">rogram’s EOPOs will be achieved, and the key assumptions being made that underpin this. </w:t>
      </w:r>
      <w:r w:rsidR="15BBDE34" w:rsidRPr="26134177">
        <w:rPr>
          <w:i/>
          <w:iCs/>
        </w:rPr>
        <w:t>Annex 1 also provides guidance on drafting a program logic.</w:t>
      </w:r>
    </w:p>
    <w:p w14:paraId="24BCA270" w14:textId="77777777" w:rsidR="00014346" w:rsidRPr="00973EAE" w:rsidRDefault="00014346" w:rsidP="00014346">
      <w:pPr>
        <w:spacing w:before="60" w:after="60"/>
        <w:rPr>
          <w:b/>
          <w:bCs/>
          <w:i/>
          <w:iCs/>
        </w:rPr>
      </w:pPr>
      <w:r w:rsidRPr="00973EAE">
        <w:rPr>
          <w:b/>
          <w:bCs/>
          <w:i/>
          <w:iCs/>
        </w:rPr>
        <w:t xml:space="preserve">Ref 5.2 </w:t>
      </w:r>
    </w:p>
    <w:p w14:paraId="73B0788D" w14:textId="1162EE2D" w:rsidR="00014346" w:rsidRPr="00973EAE" w:rsidRDefault="00014346" w:rsidP="26134177">
      <w:pPr>
        <w:spacing w:before="60" w:after="60"/>
        <w:rPr>
          <w:i/>
          <w:iCs/>
        </w:rPr>
      </w:pPr>
      <w:r w:rsidRPr="26134177">
        <w:rPr>
          <w:i/>
          <w:iCs/>
        </w:rPr>
        <w:t>The MEL Plan will closely reflect the Program Logic. For example, EOPOs and IOs will be included in the ME</w:t>
      </w:r>
      <w:r w:rsidR="32B021C5" w:rsidRPr="26134177">
        <w:rPr>
          <w:i/>
          <w:iCs/>
        </w:rPr>
        <w:t>L</w:t>
      </w:r>
      <w:r w:rsidRPr="26134177">
        <w:rPr>
          <w:i/>
          <w:iCs/>
        </w:rPr>
        <w:t xml:space="preserve"> Framework and plans for data collection should align with the program's other activities. The Program Logic provides the backbone for the Plan.      </w:t>
      </w:r>
    </w:p>
    <w:p w14:paraId="540DBF91" w14:textId="77777777" w:rsidR="00014346" w:rsidRPr="00973EAE" w:rsidRDefault="00014346" w:rsidP="00014346">
      <w:pPr>
        <w:spacing w:before="60" w:after="60"/>
        <w:rPr>
          <w:b/>
          <w:bCs/>
          <w:i/>
          <w:iCs/>
        </w:rPr>
      </w:pPr>
      <w:r w:rsidRPr="00973EAE">
        <w:rPr>
          <w:b/>
          <w:bCs/>
          <w:i/>
          <w:iCs/>
        </w:rPr>
        <w:t>Ref</w:t>
      </w:r>
      <w:r>
        <w:t xml:space="preserve"> </w:t>
      </w:r>
      <w:r w:rsidRPr="00973EAE">
        <w:rPr>
          <w:b/>
          <w:bCs/>
          <w:i/>
          <w:iCs/>
        </w:rPr>
        <w:t>5.3</w:t>
      </w:r>
      <w:r>
        <w:rPr>
          <w:b/>
          <w:bCs/>
          <w:i/>
          <w:iCs/>
        </w:rPr>
        <w:t>, 5.24</w:t>
      </w:r>
    </w:p>
    <w:p w14:paraId="2E7B11BE" w14:textId="60A0520F" w:rsidR="00014346" w:rsidRPr="00973EAE" w:rsidRDefault="00014346" w:rsidP="26134177">
      <w:pPr>
        <w:spacing w:after="120" w:line="250" w:lineRule="auto"/>
        <w:rPr>
          <w:i/>
          <w:iCs/>
        </w:rPr>
      </w:pPr>
      <w:r w:rsidRPr="26134177">
        <w:rPr>
          <w:i/>
          <w:iCs/>
        </w:rPr>
        <w:lastRenderedPageBreak/>
        <w:t>State the process/frequency for reviewing and updating the Program Logic (and reflecting these changes in the M</w:t>
      </w:r>
      <w:r w:rsidR="038065DF" w:rsidRPr="26134177">
        <w:rPr>
          <w:i/>
          <w:iCs/>
        </w:rPr>
        <w:t>EL</w:t>
      </w:r>
      <w:r w:rsidRPr="26134177">
        <w:rPr>
          <w:i/>
          <w:iCs/>
        </w:rPr>
        <w:t xml:space="preserve"> Framework). </w:t>
      </w:r>
    </w:p>
    <w:p w14:paraId="6D00B39C" w14:textId="0631C526" w:rsidR="00014346" w:rsidRDefault="00014346" w:rsidP="26134177">
      <w:pPr>
        <w:pStyle w:val="Heading4"/>
        <w:spacing w:before="60" w:after="60"/>
      </w:pPr>
      <w:r>
        <w:t>The MEL System</w:t>
      </w:r>
    </w:p>
    <w:p w14:paraId="74F697EE" w14:textId="47713A6E" w:rsidR="00014346" w:rsidRDefault="17277185" w:rsidP="26134177">
      <w:pPr>
        <w:spacing w:before="60" w:after="60"/>
        <w:rPr>
          <w:b/>
          <w:bCs/>
          <w:i/>
          <w:iCs/>
        </w:rPr>
      </w:pPr>
      <w:r w:rsidRPr="26134177">
        <w:rPr>
          <w:b/>
          <w:bCs/>
          <w:i/>
          <w:iCs/>
        </w:rPr>
        <w:t>Ref 5.2</w:t>
      </w:r>
    </w:p>
    <w:p w14:paraId="20DE1D40" w14:textId="1BEC36B8" w:rsidR="00014346" w:rsidRDefault="00014346" w:rsidP="26134177">
      <w:pPr>
        <w:spacing w:before="60" w:after="60"/>
        <w:rPr>
          <w:i/>
          <w:iCs/>
        </w:rPr>
      </w:pPr>
      <w:r w:rsidRPr="26134177">
        <w:rPr>
          <w:i/>
          <w:iCs/>
        </w:rPr>
        <w:t>Explain the MEL system and how it will operate. Ref Standard 5 (ME</w:t>
      </w:r>
      <w:r w:rsidR="1367211A" w:rsidRPr="26134177">
        <w:rPr>
          <w:i/>
          <w:iCs/>
        </w:rPr>
        <w:t>L</w:t>
      </w:r>
      <w:r w:rsidRPr="26134177">
        <w:rPr>
          <w:i/>
          <w:iCs/>
        </w:rPr>
        <w:t xml:space="preserve"> Plan and System) for a full description of what is required. </w:t>
      </w:r>
    </w:p>
    <w:p w14:paraId="0414D827" w14:textId="77777777" w:rsidR="00014346" w:rsidRPr="00014346" w:rsidRDefault="00014346" w:rsidP="00EC2C0F">
      <w:pPr>
        <w:pStyle w:val="Heading5"/>
      </w:pPr>
      <w:r w:rsidRPr="00014346">
        <w:t>Key evaluation questions</w:t>
      </w:r>
    </w:p>
    <w:p w14:paraId="2EB4F09D" w14:textId="77777777" w:rsidR="00014346" w:rsidRDefault="00014346" w:rsidP="00014346">
      <w:pPr>
        <w:spacing w:before="60" w:after="60"/>
        <w:rPr>
          <w:b/>
          <w:bCs/>
          <w:i/>
          <w:iCs/>
        </w:rPr>
      </w:pPr>
      <w:r w:rsidRPr="136F8796">
        <w:rPr>
          <w:b/>
          <w:bCs/>
          <w:i/>
          <w:iCs/>
        </w:rPr>
        <w:t>Ref 5.7</w:t>
      </w:r>
      <w:r>
        <w:rPr>
          <w:b/>
          <w:bCs/>
          <w:i/>
          <w:iCs/>
        </w:rPr>
        <w:t xml:space="preserve"> </w:t>
      </w:r>
    </w:p>
    <w:p w14:paraId="6E7F8376" w14:textId="44C48F51" w:rsidR="00014346" w:rsidRPr="00737230" w:rsidRDefault="2578C4AD" w:rsidP="39945DB7">
      <w:pPr>
        <w:spacing w:before="60" w:after="60"/>
        <w:rPr>
          <w:i/>
          <w:iCs/>
        </w:rPr>
      </w:pPr>
      <w:r w:rsidRPr="39945DB7">
        <w:rPr>
          <w:i/>
          <w:iCs/>
        </w:rPr>
        <w:t xml:space="preserve">Key evaluation questions should be framed to help understand progress towards outcomes (often testing assumptions in the Program Logic) and/or meet the needs of decision-makers or stakeholders. Consider how DFAT quality criteria of effectiveness, efficiency, gender equality, </w:t>
      </w:r>
      <w:r w:rsidR="25B24D90" w:rsidRPr="39945DB7">
        <w:rPr>
          <w:i/>
          <w:iCs/>
        </w:rPr>
        <w:t xml:space="preserve">disability </w:t>
      </w:r>
      <w:r w:rsidR="5FF48507" w:rsidRPr="39945DB7">
        <w:rPr>
          <w:i/>
          <w:iCs/>
        </w:rPr>
        <w:t>equity</w:t>
      </w:r>
      <w:r w:rsidR="63479EFF" w:rsidRPr="39945DB7">
        <w:rPr>
          <w:i/>
          <w:iCs/>
        </w:rPr>
        <w:t xml:space="preserve">, </w:t>
      </w:r>
      <w:r w:rsidRPr="39945DB7">
        <w:rPr>
          <w:i/>
          <w:iCs/>
        </w:rPr>
        <w:t xml:space="preserve">risk management, relevance, sustainability as well as DFAT policy priorities for PHR – </w:t>
      </w:r>
      <w:r w:rsidR="3704CA49" w:rsidRPr="39945DB7">
        <w:rPr>
          <w:i/>
          <w:iCs/>
        </w:rPr>
        <w:t>social inclusion</w:t>
      </w:r>
      <w:r w:rsidRPr="39945DB7">
        <w:rPr>
          <w:i/>
          <w:iCs/>
        </w:rPr>
        <w:t xml:space="preserve">, climate change, engagement of </w:t>
      </w:r>
      <w:r w:rsidR="695B1409" w:rsidRPr="39945DB7">
        <w:rPr>
          <w:i/>
          <w:iCs/>
        </w:rPr>
        <w:t>F</w:t>
      </w:r>
      <w:r w:rsidRPr="39945DB7">
        <w:rPr>
          <w:i/>
          <w:iCs/>
        </w:rPr>
        <w:t xml:space="preserve">irst </w:t>
      </w:r>
      <w:r w:rsidR="59BFABA4" w:rsidRPr="39945DB7">
        <w:rPr>
          <w:i/>
          <w:iCs/>
        </w:rPr>
        <w:t>N</w:t>
      </w:r>
      <w:r w:rsidRPr="39945DB7">
        <w:rPr>
          <w:i/>
          <w:iCs/>
        </w:rPr>
        <w:t xml:space="preserve">ations’ </w:t>
      </w:r>
      <w:r w:rsidR="0CF3A2F7" w:rsidRPr="39945DB7">
        <w:rPr>
          <w:i/>
          <w:iCs/>
        </w:rPr>
        <w:t xml:space="preserve">Australians </w:t>
      </w:r>
      <w:r w:rsidRPr="39945DB7">
        <w:rPr>
          <w:i/>
          <w:iCs/>
        </w:rPr>
        <w:t xml:space="preserve">might apply. </w:t>
      </w:r>
    </w:p>
    <w:p w14:paraId="2CE32A33" w14:textId="31E6CA6C" w:rsidR="00014346" w:rsidRDefault="00014346" w:rsidP="00EC2C0F">
      <w:pPr>
        <w:pStyle w:val="Heading5"/>
      </w:pPr>
      <w:r>
        <w:t>Monitoring</w:t>
      </w:r>
      <w:r w:rsidR="35DC506A">
        <w:t>,</w:t>
      </w:r>
      <w:r>
        <w:t xml:space="preserve"> Evaluation</w:t>
      </w:r>
      <w:r w:rsidR="42D74B52">
        <w:t xml:space="preserve"> and Learning</w:t>
      </w:r>
      <w:r>
        <w:t xml:space="preserve"> Framework (ME</w:t>
      </w:r>
      <w:r w:rsidR="4DF143F2">
        <w:t>L</w:t>
      </w:r>
      <w:r>
        <w:t>F)</w:t>
      </w:r>
    </w:p>
    <w:p w14:paraId="21D6A266" w14:textId="77777777" w:rsidR="00014346" w:rsidRPr="00F752AA" w:rsidRDefault="00014346" w:rsidP="00014346">
      <w:pPr>
        <w:spacing w:before="60" w:after="60"/>
        <w:rPr>
          <w:b/>
          <w:bCs/>
          <w:i/>
          <w:iCs/>
        </w:rPr>
      </w:pPr>
      <w:r>
        <w:rPr>
          <w:b/>
          <w:bCs/>
          <w:i/>
          <w:iCs/>
        </w:rPr>
        <w:t xml:space="preserve">Ref 5.4, </w:t>
      </w:r>
      <w:r w:rsidRPr="00F752AA">
        <w:rPr>
          <w:b/>
          <w:bCs/>
          <w:i/>
          <w:iCs/>
        </w:rPr>
        <w:t xml:space="preserve">5.7 </w:t>
      </w:r>
    </w:p>
    <w:p w14:paraId="4220DB8D" w14:textId="4661F899" w:rsidR="00014346" w:rsidRDefault="00014346" w:rsidP="26134177">
      <w:pPr>
        <w:spacing w:before="60" w:after="60"/>
        <w:rPr>
          <w:i/>
          <w:iCs/>
        </w:rPr>
      </w:pPr>
      <w:r w:rsidRPr="26134177">
        <w:rPr>
          <w:i/>
          <w:iCs/>
        </w:rPr>
        <w:t>Provide an overview of the ME</w:t>
      </w:r>
      <w:r w:rsidR="06D130B4" w:rsidRPr="26134177">
        <w:rPr>
          <w:i/>
          <w:iCs/>
        </w:rPr>
        <w:t>L</w:t>
      </w:r>
      <w:r w:rsidRPr="26134177">
        <w:rPr>
          <w:i/>
          <w:iCs/>
        </w:rPr>
        <w:t xml:space="preserve"> Framework in the text and attach an annex that presents it in table form. Refer to Annex 1 for a template). </w:t>
      </w:r>
    </w:p>
    <w:p w14:paraId="0193886B" w14:textId="77777777" w:rsidR="00014346" w:rsidRPr="00973EAE" w:rsidRDefault="00014346" w:rsidP="00014346">
      <w:pPr>
        <w:spacing w:after="0" w:line="250" w:lineRule="auto"/>
        <w:rPr>
          <w:b/>
          <w:bCs/>
        </w:rPr>
      </w:pPr>
      <w:r w:rsidRPr="007E49A0">
        <w:rPr>
          <w:b/>
          <w:bCs/>
        </w:rPr>
        <w:t>Tips:</w:t>
      </w:r>
    </w:p>
    <w:p w14:paraId="13E51C55" w14:textId="69CD0B48" w:rsidR="00014346" w:rsidRDefault="00014346" w:rsidP="26134177">
      <w:pPr>
        <w:pStyle w:val="ListParagraph"/>
        <w:numPr>
          <w:ilvl w:val="0"/>
          <w:numId w:val="14"/>
        </w:numPr>
        <w:suppressAutoHyphens w:val="0"/>
        <w:spacing w:before="0" w:after="120" w:line="250" w:lineRule="auto"/>
        <w:rPr>
          <w:i/>
          <w:iCs/>
        </w:rPr>
      </w:pPr>
      <w:r w:rsidRPr="26134177">
        <w:rPr>
          <w:i/>
          <w:iCs/>
        </w:rPr>
        <w:t xml:space="preserve">EOPOs, IOs and outputs/activities in the </w:t>
      </w:r>
      <w:r w:rsidR="7AE7CBFF" w:rsidRPr="26134177">
        <w:rPr>
          <w:i/>
          <w:iCs/>
        </w:rPr>
        <w:t>ME</w:t>
      </w:r>
      <w:r w:rsidR="5FC6337E" w:rsidRPr="26134177">
        <w:rPr>
          <w:i/>
          <w:iCs/>
        </w:rPr>
        <w:t>L</w:t>
      </w:r>
      <w:r w:rsidR="7AE7CBFF" w:rsidRPr="26134177">
        <w:rPr>
          <w:i/>
          <w:iCs/>
        </w:rPr>
        <w:t>F</w:t>
      </w:r>
      <w:r w:rsidRPr="26134177">
        <w:rPr>
          <w:i/>
          <w:iCs/>
        </w:rPr>
        <w:t xml:space="preserve"> must match those in the Program Logic. Each must have one (or more) indicator(s), with a method for data collection.</w:t>
      </w:r>
    </w:p>
    <w:p w14:paraId="577CA9D8" w14:textId="647BB549" w:rsidR="00014346" w:rsidRDefault="00014346" w:rsidP="26134177">
      <w:pPr>
        <w:pStyle w:val="ListParagraph"/>
        <w:numPr>
          <w:ilvl w:val="0"/>
          <w:numId w:val="14"/>
        </w:numPr>
        <w:suppressAutoHyphens w:val="0"/>
        <w:spacing w:before="0" w:after="120" w:line="250" w:lineRule="auto"/>
        <w:rPr>
          <w:i/>
          <w:iCs/>
        </w:rPr>
      </w:pPr>
      <w:r w:rsidRPr="26134177">
        <w:rPr>
          <w:i/>
          <w:iCs/>
        </w:rPr>
        <w:t>Data collection methods must be specific. E.g., if a survey is included as a tool in the M</w:t>
      </w:r>
      <w:r w:rsidR="0F4C5EC1" w:rsidRPr="26134177">
        <w:rPr>
          <w:i/>
          <w:iCs/>
        </w:rPr>
        <w:t>ELF</w:t>
      </w:r>
      <w:r w:rsidRPr="26134177">
        <w:rPr>
          <w:i/>
          <w:iCs/>
        </w:rPr>
        <w:t xml:space="preserve">, the survey methods must be described in the following section on data collection.  </w:t>
      </w:r>
    </w:p>
    <w:p w14:paraId="648C94F4" w14:textId="5322CACF" w:rsidR="00014346" w:rsidRDefault="00014346" w:rsidP="26134177">
      <w:pPr>
        <w:pStyle w:val="ListParagraph"/>
        <w:numPr>
          <w:ilvl w:val="0"/>
          <w:numId w:val="14"/>
        </w:numPr>
        <w:suppressAutoHyphens w:val="0"/>
        <w:spacing w:before="0" w:after="120" w:line="250" w:lineRule="auto"/>
        <w:rPr>
          <w:i/>
          <w:iCs/>
        </w:rPr>
      </w:pPr>
      <w:r w:rsidRPr="26134177">
        <w:rPr>
          <w:i/>
          <w:iCs/>
        </w:rPr>
        <w:t xml:space="preserve">Data collection activities included in the </w:t>
      </w:r>
      <w:r w:rsidR="72D8EA3D" w:rsidRPr="26134177">
        <w:rPr>
          <w:i/>
          <w:iCs/>
        </w:rPr>
        <w:t>ME</w:t>
      </w:r>
      <w:r w:rsidR="71F67E93" w:rsidRPr="26134177">
        <w:rPr>
          <w:i/>
          <w:iCs/>
        </w:rPr>
        <w:t>L</w:t>
      </w:r>
      <w:r w:rsidR="72D8EA3D" w:rsidRPr="26134177">
        <w:rPr>
          <w:i/>
          <w:iCs/>
        </w:rPr>
        <w:t>F</w:t>
      </w:r>
      <w:r w:rsidRPr="26134177">
        <w:rPr>
          <w:i/>
          <w:iCs/>
        </w:rPr>
        <w:t xml:space="preserve"> must also appear in the schedule of MEL activities and be reflected in the program’s budget and program team’s responsibilities. </w:t>
      </w:r>
    </w:p>
    <w:p w14:paraId="738411B4" w14:textId="4B39FBC3" w:rsidR="00237C61" w:rsidRDefault="00BB4FAD" w:rsidP="26134177">
      <w:pPr>
        <w:pStyle w:val="ListParagraph"/>
        <w:numPr>
          <w:ilvl w:val="0"/>
          <w:numId w:val="14"/>
        </w:numPr>
        <w:suppressAutoHyphens w:val="0"/>
        <w:spacing w:before="0" w:after="120" w:line="250" w:lineRule="auto"/>
        <w:rPr>
          <w:i/>
          <w:iCs/>
        </w:rPr>
      </w:pPr>
      <w:r w:rsidRPr="00BB4FAD">
        <w:rPr>
          <w:i/>
          <w:iCs/>
        </w:rPr>
        <w:t xml:space="preserve">include small number of key evaluation questions that align with the specific information needs of primary users. Questions should be phrased as targeted exploratory questions that </w:t>
      </w:r>
      <w:r w:rsidR="001D0111">
        <w:rPr>
          <w:i/>
          <w:iCs/>
        </w:rPr>
        <w:t xml:space="preserve">support </w:t>
      </w:r>
      <w:r w:rsidRPr="00BB4FAD">
        <w:rPr>
          <w:i/>
          <w:iCs/>
        </w:rPr>
        <w:t xml:space="preserve">users of the MEL </w:t>
      </w:r>
      <w:r>
        <w:rPr>
          <w:i/>
          <w:iCs/>
        </w:rPr>
        <w:t>syst</w:t>
      </w:r>
      <w:r w:rsidR="001D0111">
        <w:rPr>
          <w:i/>
          <w:iCs/>
        </w:rPr>
        <w:t xml:space="preserve">em </w:t>
      </w:r>
      <w:r w:rsidRPr="00BB4FAD">
        <w:rPr>
          <w:i/>
          <w:iCs/>
        </w:rPr>
        <w:t>to make appropriate decisions about the program or respond to a particular area of interest.</w:t>
      </w:r>
    </w:p>
    <w:p w14:paraId="003B2FC2" w14:textId="77777777" w:rsidR="00014346" w:rsidRDefault="00014346" w:rsidP="00EC2C0F">
      <w:pPr>
        <w:pStyle w:val="Heading5"/>
      </w:pPr>
      <w:r w:rsidRPr="00503ECE">
        <w:t xml:space="preserve">Indicators </w:t>
      </w:r>
      <w:r>
        <w:t>(</w:t>
      </w:r>
      <w:r w:rsidRPr="00503ECE">
        <w:t>quantitative and qualitative</w:t>
      </w:r>
      <w:r>
        <w:t>)</w:t>
      </w:r>
    </w:p>
    <w:p w14:paraId="79A3D427" w14:textId="798E4F3C" w:rsidR="00014346" w:rsidRDefault="00014346" w:rsidP="26134177">
      <w:pPr>
        <w:spacing w:before="60" w:after="60"/>
        <w:rPr>
          <w:b/>
          <w:bCs/>
          <w:i/>
          <w:iCs/>
        </w:rPr>
      </w:pPr>
      <w:r w:rsidRPr="26134177">
        <w:rPr>
          <w:b/>
          <w:bCs/>
          <w:i/>
          <w:iCs/>
        </w:rPr>
        <w:t xml:space="preserve">Ref 5.4, </w:t>
      </w:r>
      <w:r w:rsidR="1E0B09AD" w:rsidRPr="26134177">
        <w:rPr>
          <w:b/>
          <w:bCs/>
          <w:i/>
          <w:iCs/>
        </w:rPr>
        <w:t xml:space="preserve">5.7, 5.8, </w:t>
      </w:r>
      <w:r w:rsidRPr="26134177">
        <w:rPr>
          <w:b/>
          <w:bCs/>
          <w:i/>
          <w:iCs/>
        </w:rPr>
        <w:t xml:space="preserve">5.9 </w:t>
      </w:r>
    </w:p>
    <w:p w14:paraId="1D0EE298" w14:textId="77777777" w:rsidR="00014346" w:rsidRDefault="00014346" w:rsidP="26134177">
      <w:pPr>
        <w:pStyle w:val="ListParagraph"/>
        <w:numPr>
          <w:ilvl w:val="0"/>
          <w:numId w:val="14"/>
        </w:numPr>
        <w:suppressAutoHyphens w:val="0"/>
        <w:spacing w:before="0" w:after="120" w:line="250" w:lineRule="auto"/>
        <w:rPr>
          <w:i/>
          <w:iCs/>
        </w:rPr>
      </w:pPr>
      <w:r w:rsidRPr="26134177">
        <w:rPr>
          <w:i/>
          <w:iCs/>
        </w:rPr>
        <w:t xml:space="preserve">Refer to the guidance in Standard 5 regarding designing appropriate indicators. </w:t>
      </w:r>
    </w:p>
    <w:p w14:paraId="5F179DD6" w14:textId="1F32A370" w:rsidR="00014346" w:rsidRPr="00F423DF" w:rsidRDefault="00014346" w:rsidP="26134177">
      <w:pPr>
        <w:pStyle w:val="ListParagraph"/>
        <w:numPr>
          <w:ilvl w:val="0"/>
          <w:numId w:val="14"/>
        </w:numPr>
        <w:suppressAutoHyphens w:val="0"/>
        <w:spacing w:before="0" w:after="120" w:line="250" w:lineRule="auto"/>
        <w:rPr>
          <w:i/>
          <w:iCs/>
        </w:rPr>
      </w:pPr>
      <w:r w:rsidRPr="26134177">
        <w:rPr>
          <w:i/>
          <w:iCs/>
        </w:rPr>
        <w:t xml:space="preserve">DFAT will work with partners to identify universal indicators for PHR IOs and EOPOs. </w:t>
      </w:r>
      <w:r w:rsidR="00B3217A" w:rsidRPr="26134177">
        <w:rPr>
          <w:i/>
          <w:iCs/>
        </w:rPr>
        <w:t xml:space="preserve">Where indicators are related to the partners program, they </w:t>
      </w:r>
      <w:r w:rsidRPr="26134177">
        <w:rPr>
          <w:i/>
          <w:iCs/>
        </w:rPr>
        <w:t>will need to be i</w:t>
      </w:r>
      <w:r w:rsidR="00B3217A" w:rsidRPr="26134177">
        <w:rPr>
          <w:i/>
          <w:iCs/>
        </w:rPr>
        <w:t>nclud</w:t>
      </w:r>
      <w:r w:rsidRPr="26134177">
        <w:rPr>
          <w:i/>
          <w:iCs/>
        </w:rPr>
        <w:t>ed i</w:t>
      </w:r>
      <w:r w:rsidR="00B3217A" w:rsidRPr="26134177">
        <w:rPr>
          <w:i/>
          <w:iCs/>
        </w:rPr>
        <w:t>n</w:t>
      </w:r>
      <w:r w:rsidRPr="26134177">
        <w:rPr>
          <w:i/>
          <w:iCs/>
        </w:rPr>
        <w:t xml:space="preserve"> Partners’ </w:t>
      </w:r>
      <w:r w:rsidR="244AF0AD" w:rsidRPr="26134177">
        <w:rPr>
          <w:i/>
          <w:iCs/>
        </w:rPr>
        <w:t>ME</w:t>
      </w:r>
      <w:r w:rsidR="03CB04F4" w:rsidRPr="26134177">
        <w:rPr>
          <w:i/>
          <w:iCs/>
        </w:rPr>
        <w:t>L</w:t>
      </w:r>
      <w:r w:rsidR="244AF0AD" w:rsidRPr="26134177">
        <w:rPr>
          <w:i/>
          <w:iCs/>
        </w:rPr>
        <w:t>F</w:t>
      </w:r>
      <w:r w:rsidRPr="26134177">
        <w:rPr>
          <w:i/>
          <w:iCs/>
        </w:rPr>
        <w:t xml:space="preserve">s. </w:t>
      </w:r>
    </w:p>
    <w:p w14:paraId="280EF28F" w14:textId="22F570C8" w:rsidR="00014346" w:rsidRPr="000F1050" w:rsidRDefault="00014346" w:rsidP="00EC2C0F">
      <w:pPr>
        <w:pStyle w:val="Heading5"/>
      </w:pPr>
      <w:r>
        <w:t>Data collection methods</w:t>
      </w:r>
    </w:p>
    <w:p w14:paraId="607C2D4A" w14:textId="6AF1F31F" w:rsidR="00014346" w:rsidRDefault="00014346" w:rsidP="26134177">
      <w:pPr>
        <w:spacing w:before="60" w:after="60"/>
        <w:rPr>
          <w:b/>
          <w:bCs/>
          <w:i/>
          <w:iCs/>
        </w:rPr>
      </w:pPr>
      <w:r w:rsidRPr="26134177">
        <w:rPr>
          <w:b/>
          <w:bCs/>
          <w:i/>
          <w:iCs/>
        </w:rPr>
        <w:t>Ref 5.12, 5.13, 5.16, 5.19, 5.26, 5.27, 5.28</w:t>
      </w:r>
      <w:r w:rsidR="6AC1D8A6" w:rsidRPr="26134177">
        <w:rPr>
          <w:b/>
          <w:bCs/>
          <w:i/>
          <w:iCs/>
        </w:rPr>
        <w:t>, 5.29</w:t>
      </w:r>
    </w:p>
    <w:p w14:paraId="074EF50A" w14:textId="2EE37C8B" w:rsidR="00014346" w:rsidRPr="0093684D" w:rsidRDefault="16AB8504" w:rsidP="0093684D">
      <w:pPr>
        <w:pStyle w:val="ListParagraph"/>
        <w:numPr>
          <w:ilvl w:val="0"/>
          <w:numId w:val="14"/>
        </w:numPr>
        <w:suppressAutoHyphens w:val="0"/>
        <w:spacing w:before="0" w:after="120" w:line="250" w:lineRule="auto"/>
        <w:rPr>
          <w:i/>
          <w:iCs/>
        </w:rPr>
      </w:pPr>
      <w:r w:rsidRPr="48035F03">
        <w:rPr>
          <w:i/>
          <w:iCs/>
        </w:rPr>
        <w:t>Explain what data will be collected, and how it will be collected, stored, and analysed.</w:t>
      </w:r>
      <w:r w:rsidR="0093684D">
        <w:rPr>
          <w:i/>
          <w:iCs/>
        </w:rPr>
        <w:t xml:space="preserve"> </w:t>
      </w:r>
      <w:r w:rsidR="0093684D" w:rsidRPr="0093684D">
        <w:rPr>
          <w:i/>
          <w:iCs/>
        </w:rPr>
        <w:t xml:space="preserve">Where possible, representatives of socially disadvantaged groups should be meaningfully included in informing data collection methods and as part of the team collecting and analysing data. </w:t>
      </w:r>
      <w:r w:rsidR="0093684D">
        <w:rPr>
          <w:i/>
          <w:iCs/>
        </w:rPr>
        <w:t>D</w:t>
      </w:r>
      <w:r w:rsidR="00372879" w:rsidRPr="0093684D">
        <w:rPr>
          <w:i/>
          <w:iCs/>
        </w:rPr>
        <w:t xml:space="preserve">ata </w:t>
      </w:r>
      <w:r w:rsidR="0093684D">
        <w:rPr>
          <w:i/>
          <w:iCs/>
        </w:rPr>
        <w:t xml:space="preserve">is </w:t>
      </w:r>
      <w:r w:rsidR="00372879" w:rsidRPr="0093684D">
        <w:rPr>
          <w:i/>
          <w:iCs/>
        </w:rPr>
        <w:t>disaggregated</w:t>
      </w:r>
      <w:r w:rsidR="00BB4676">
        <w:rPr>
          <w:i/>
          <w:iCs/>
        </w:rPr>
        <w:t xml:space="preserve"> by </w:t>
      </w:r>
      <w:r w:rsidR="00BB4676" w:rsidRPr="00BB4676">
        <w:rPr>
          <w:i/>
          <w:iCs/>
        </w:rPr>
        <w:t>sex, disability status and other relevant aspects of social inclusion</w:t>
      </w:r>
      <w:r w:rsidR="00BB4676">
        <w:rPr>
          <w:i/>
          <w:iCs/>
        </w:rPr>
        <w:t>.</w:t>
      </w:r>
      <w:r w:rsidR="00372879" w:rsidRPr="0093684D">
        <w:rPr>
          <w:i/>
          <w:iCs/>
        </w:rPr>
        <w:t xml:space="preserve"> </w:t>
      </w:r>
      <w:r w:rsidRPr="0093684D">
        <w:rPr>
          <w:i/>
          <w:iCs/>
        </w:rPr>
        <w:t xml:space="preserve">Describe how partners’ data (e.g., official government datasets) are used. Refer to </w:t>
      </w:r>
      <w:r w:rsidR="4AB6DC33" w:rsidRPr="0093684D">
        <w:rPr>
          <w:i/>
          <w:iCs/>
        </w:rPr>
        <w:t xml:space="preserve">DFAT’s </w:t>
      </w:r>
      <w:hyperlink r:id="rId18">
        <w:r w:rsidR="4AB6DC33" w:rsidRPr="0093684D">
          <w:rPr>
            <w:rStyle w:val="Hyperlink"/>
            <w:rFonts w:ascii="Calibri Light" w:eastAsia="Calibri Light" w:hAnsi="Calibri Light" w:cs="Calibri Light"/>
          </w:rPr>
          <w:t>Ethical Research and Evaluation Guidance Note (dfat.gov.au)</w:t>
        </w:r>
      </w:hyperlink>
      <w:r w:rsidR="4AB6DC33" w:rsidRPr="0093684D">
        <w:rPr>
          <w:rFonts w:ascii="Calibri Light" w:eastAsia="Calibri Light" w:hAnsi="Calibri Light" w:cs="Calibri Light"/>
        </w:rPr>
        <w:t>.</w:t>
      </w:r>
      <w:r w:rsidRPr="0093684D">
        <w:rPr>
          <w:i/>
          <w:iCs/>
        </w:rPr>
        <w:t xml:space="preserve"> </w:t>
      </w:r>
      <w:r w:rsidR="00014346" w:rsidRPr="0093684D">
        <w:rPr>
          <w:i/>
          <w:iCs/>
        </w:rPr>
        <w:t xml:space="preserve">Data collection tools must be clearly described. For example, if a survey is used, the MEL Plan will describe the survey design, sampling strategy, timing, and resources. </w:t>
      </w:r>
    </w:p>
    <w:p w14:paraId="7B1B3860" w14:textId="77777777" w:rsidR="00014346" w:rsidRDefault="00014346" w:rsidP="00EC2C0F">
      <w:pPr>
        <w:pStyle w:val="Heading5"/>
      </w:pPr>
      <w:r w:rsidRPr="00503ECE">
        <w:lastRenderedPageBreak/>
        <w:t xml:space="preserve">Baselines </w:t>
      </w:r>
    </w:p>
    <w:p w14:paraId="5E4EC078" w14:textId="77777777" w:rsidR="00014346" w:rsidRPr="0039384C" w:rsidRDefault="00014346" w:rsidP="00014346">
      <w:pPr>
        <w:spacing w:before="60" w:after="60"/>
        <w:contextualSpacing/>
      </w:pPr>
      <w:r w:rsidRPr="00C22C56">
        <w:rPr>
          <w:b/>
          <w:bCs/>
          <w:i/>
          <w:iCs/>
        </w:rPr>
        <w:t>Ref</w:t>
      </w:r>
      <w:r w:rsidRPr="00C22C56">
        <w:rPr>
          <w:i/>
          <w:iCs/>
        </w:rPr>
        <w:t xml:space="preserve"> </w:t>
      </w:r>
      <w:r w:rsidRPr="00C22C56">
        <w:rPr>
          <w:b/>
          <w:bCs/>
          <w:i/>
          <w:iCs/>
        </w:rPr>
        <w:t>5.5</w:t>
      </w:r>
      <w:r>
        <w:rPr>
          <w:b/>
          <w:bCs/>
          <w:i/>
          <w:iCs/>
        </w:rPr>
        <w:t>, R</w:t>
      </w:r>
      <w:r w:rsidRPr="00C22C56">
        <w:rPr>
          <w:b/>
          <w:bCs/>
          <w:i/>
          <w:iCs/>
        </w:rPr>
        <w:t>ef 5.23</w:t>
      </w:r>
    </w:p>
    <w:p w14:paraId="0E3AB6B4" w14:textId="3CC8F62B" w:rsidR="00014346" w:rsidRPr="00F752AA" w:rsidRDefault="2578C4AD" w:rsidP="39945DB7">
      <w:pPr>
        <w:spacing w:before="60" w:after="60"/>
        <w:contextualSpacing/>
        <w:rPr>
          <w:i/>
          <w:iCs/>
        </w:rPr>
      </w:pPr>
      <w:r w:rsidRPr="39945DB7">
        <w:rPr>
          <w:i/>
          <w:iCs/>
        </w:rPr>
        <w:t xml:space="preserve">Provide baseline information, and/or plans to collect it. All baseline data must be collected within twelve months of commencement. Sooner is recommended for short-term programs. </w:t>
      </w:r>
      <w:r w:rsidR="326111CC" w:rsidRPr="39945DB7">
        <w:rPr>
          <w:i/>
          <w:iCs/>
        </w:rPr>
        <w:t>Baselines will be informed b</w:t>
      </w:r>
      <w:r w:rsidR="4A0FFD39" w:rsidRPr="39945DB7">
        <w:rPr>
          <w:i/>
          <w:iCs/>
        </w:rPr>
        <w:t>y</w:t>
      </w:r>
      <w:r w:rsidR="326111CC" w:rsidRPr="39945DB7">
        <w:rPr>
          <w:i/>
          <w:iCs/>
        </w:rPr>
        <w:t xml:space="preserve"> </w:t>
      </w:r>
      <w:r w:rsidR="5F3A9711" w:rsidRPr="39945DB7">
        <w:rPr>
          <w:i/>
          <w:iCs/>
        </w:rPr>
        <w:t>gender</w:t>
      </w:r>
      <w:r w:rsidR="1BB53F1F" w:rsidRPr="39945DB7">
        <w:rPr>
          <w:i/>
          <w:iCs/>
        </w:rPr>
        <w:t xml:space="preserve"> equality, disability </w:t>
      </w:r>
      <w:r w:rsidR="17B00D8C" w:rsidRPr="39945DB7">
        <w:rPr>
          <w:i/>
          <w:iCs/>
        </w:rPr>
        <w:t xml:space="preserve">equity </w:t>
      </w:r>
      <w:r w:rsidR="1BB53F1F" w:rsidRPr="39945DB7">
        <w:rPr>
          <w:i/>
          <w:iCs/>
        </w:rPr>
        <w:t>and social inclusion</w:t>
      </w:r>
      <w:r w:rsidR="5F3A9711" w:rsidRPr="39945DB7">
        <w:rPr>
          <w:i/>
          <w:iCs/>
        </w:rPr>
        <w:t xml:space="preserve"> analysis </w:t>
      </w:r>
      <w:r w:rsidR="326111CC" w:rsidRPr="39945DB7">
        <w:rPr>
          <w:i/>
          <w:iCs/>
        </w:rPr>
        <w:t xml:space="preserve">undertaken by partners, with other data from cross-cutting priorities informing baselines as relevant. </w:t>
      </w:r>
    </w:p>
    <w:p w14:paraId="7D7FDB92" w14:textId="77777777" w:rsidR="00014346" w:rsidRDefault="2578C4AD" w:rsidP="00EC2C0F">
      <w:pPr>
        <w:pStyle w:val="Heading5"/>
      </w:pPr>
      <w:r>
        <w:t>Cross-cutting priorities</w:t>
      </w:r>
    </w:p>
    <w:p w14:paraId="788E9593" w14:textId="77777777" w:rsidR="004A13E9" w:rsidRPr="00A10E0A" w:rsidRDefault="004A13E9" w:rsidP="004A13E9">
      <w:pPr>
        <w:spacing w:before="60" w:after="60"/>
        <w:rPr>
          <w:b/>
          <w:bCs/>
          <w:i/>
          <w:iCs/>
        </w:rPr>
      </w:pPr>
      <w:r w:rsidRPr="00A10E0A">
        <w:rPr>
          <w:b/>
          <w:bCs/>
          <w:i/>
          <w:iCs/>
        </w:rPr>
        <w:t xml:space="preserve">Ref </w:t>
      </w:r>
      <w:r>
        <w:rPr>
          <w:b/>
          <w:bCs/>
          <w:i/>
          <w:iCs/>
        </w:rPr>
        <w:t xml:space="preserve">5.8, </w:t>
      </w:r>
      <w:r w:rsidRPr="00A10E0A">
        <w:rPr>
          <w:b/>
          <w:bCs/>
          <w:i/>
          <w:iCs/>
        </w:rPr>
        <w:t>5.10</w:t>
      </w:r>
    </w:p>
    <w:p w14:paraId="2D177B7B" w14:textId="26AA9348" w:rsidR="00014346" w:rsidRPr="00F423DF" w:rsidRDefault="00014346" w:rsidP="00014346">
      <w:pPr>
        <w:spacing w:before="60" w:after="60"/>
        <w:rPr>
          <w:i/>
          <w:iCs/>
        </w:rPr>
      </w:pPr>
      <w:r>
        <w:rPr>
          <w:i/>
          <w:iCs/>
        </w:rPr>
        <w:t xml:space="preserve">The MEL Plan enables partners, and DFAT, to measure and understand how cross-cutting priorities are addressed. For the PHR Initiative, these are IOs </w:t>
      </w:r>
      <w:r w:rsidR="006C636C">
        <w:rPr>
          <w:i/>
          <w:iCs/>
        </w:rPr>
        <w:t xml:space="preserve">address outcomes relating to </w:t>
      </w:r>
      <w:r w:rsidR="00B52D83" w:rsidRPr="003C77E2">
        <w:rPr>
          <w:i/>
          <w:iCs/>
        </w:rPr>
        <w:t xml:space="preserve">One Health approaches and integration of climate change considerations, </w:t>
      </w:r>
      <w:r w:rsidR="00B24E24">
        <w:rPr>
          <w:i/>
          <w:iCs/>
        </w:rPr>
        <w:t>GEDSI</w:t>
      </w:r>
      <w:r w:rsidR="00EC0F15">
        <w:rPr>
          <w:i/>
          <w:iCs/>
        </w:rPr>
        <w:t xml:space="preserve"> including Australian First Nation’s engagement</w:t>
      </w:r>
      <w:r w:rsidR="00B24E24">
        <w:rPr>
          <w:i/>
          <w:iCs/>
        </w:rPr>
        <w:t xml:space="preserve">, </w:t>
      </w:r>
      <w:r>
        <w:rPr>
          <w:i/>
          <w:iCs/>
        </w:rPr>
        <w:t>and</w:t>
      </w:r>
      <w:r w:rsidR="00B52D83">
        <w:rPr>
          <w:i/>
          <w:iCs/>
        </w:rPr>
        <w:t xml:space="preserve"> c</w:t>
      </w:r>
      <w:r w:rsidR="003C77E2">
        <w:rPr>
          <w:i/>
          <w:iCs/>
        </w:rPr>
        <w:t>ommunity engagement</w:t>
      </w:r>
      <w:r>
        <w:rPr>
          <w:i/>
          <w:iCs/>
        </w:rPr>
        <w:t xml:space="preserve">. Partners may also have other priorities. Include a brief explanation of how the MEL system will collect and use relevant data.    </w:t>
      </w:r>
    </w:p>
    <w:p w14:paraId="1CA05F07" w14:textId="57722481" w:rsidR="00014346" w:rsidRPr="00F423DF" w:rsidRDefault="004A13E9" w:rsidP="48035F03">
      <w:pPr>
        <w:spacing w:before="60" w:after="60"/>
        <w:rPr>
          <w:i/>
          <w:iCs/>
        </w:rPr>
      </w:pPr>
      <w:r>
        <w:rPr>
          <w:i/>
          <w:iCs/>
        </w:rPr>
        <w:t>R</w:t>
      </w:r>
      <w:r w:rsidR="005C40FD" w:rsidRPr="004A13E9">
        <w:rPr>
          <w:i/>
          <w:iCs/>
        </w:rPr>
        <w:t xml:space="preserve">each and benefits to different groups and quality of participation </w:t>
      </w:r>
      <w:r>
        <w:rPr>
          <w:i/>
          <w:iCs/>
        </w:rPr>
        <w:t xml:space="preserve">are </w:t>
      </w:r>
      <w:r w:rsidR="001F472C" w:rsidRPr="004A13E9">
        <w:rPr>
          <w:i/>
          <w:iCs/>
        </w:rPr>
        <w:t>assessed.</w:t>
      </w:r>
    </w:p>
    <w:p w14:paraId="4F6A451E" w14:textId="77777777" w:rsidR="00014346" w:rsidRDefault="00014346" w:rsidP="00EC2C0F">
      <w:pPr>
        <w:pStyle w:val="Heading5"/>
      </w:pPr>
      <w:r w:rsidRPr="00503ECE">
        <w:t>Pro</w:t>
      </w:r>
      <w:r>
        <w:t>gram</w:t>
      </w:r>
      <w:r w:rsidRPr="00503ECE">
        <w:t xml:space="preserve"> </w:t>
      </w:r>
      <w:r>
        <w:t>re</w:t>
      </w:r>
      <w:r w:rsidRPr="00503ECE">
        <w:t>porting</w:t>
      </w:r>
    </w:p>
    <w:p w14:paraId="3AEA64DE" w14:textId="0D706D0A" w:rsidR="00014346" w:rsidRDefault="00014346" w:rsidP="26134177">
      <w:pPr>
        <w:spacing w:before="60" w:after="60"/>
        <w:contextualSpacing/>
        <w:rPr>
          <w:b/>
          <w:bCs/>
          <w:i/>
          <w:iCs/>
        </w:rPr>
      </w:pPr>
      <w:r w:rsidRPr="26134177">
        <w:rPr>
          <w:b/>
          <w:bCs/>
          <w:i/>
          <w:iCs/>
        </w:rPr>
        <w:t xml:space="preserve">Ref </w:t>
      </w:r>
      <w:r w:rsidR="1A802EB5" w:rsidRPr="26134177">
        <w:rPr>
          <w:b/>
          <w:bCs/>
          <w:i/>
          <w:iCs/>
        </w:rPr>
        <w:t>5.16,</w:t>
      </w:r>
      <w:r w:rsidRPr="26134177">
        <w:rPr>
          <w:b/>
          <w:bCs/>
          <w:i/>
          <w:iCs/>
        </w:rPr>
        <w:t xml:space="preserve"> 5.20</w:t>
      </w:r>
      <w:r w:rsidR="2CFAEA00" w:rsidRPr="26134177">
        <w:rPr>
          <w:b/>
          <w:bCs/>
          <w:i/>
          <w:iCs/>
        </w:rPr>
        <w:t>, 5.29</w:t>
      </w:r>
    </w:p>
    <w:p w14:paraId="4D2C71BD" w14:textId="6991B48F" w:rsidR="00014346" w:rsidRPr="00F423DF" w:rsidRDefault="16AB8504" w:rsidP="78130BE9">
      <w:pPr>
        <w:spacing w:before="60" w:after="60"/>
        <w:contextualSpacing/>
        <w:rPr>
          <w:i/>
          <w:iCs/>
        </w:rPr>
      </w:pPr>
      <w:r w:rsidRPr="78130BE9">
        <w:rPr>
          <w:i/>
          <w:iCs/>
        </w:rPr>
        <w:t xml:space="preserve">Specify the timing and requirements for Progress Reports (as stated in the Agreement) and any additional reporting). </w:t>
      </w:r>
      <w:r w:rsidRPr="78130BE9">
        <w:rPr>
          <w:b/>
          <w:bCs/>
          <w:i/>
          <w:iCs/>
        </w:rPr>
        <w:t>Ref Standard 6 (Program Progress Reports)</w:t>
      </w:r>
      <w:r w:rsidRPr="78130BE9">
        <w:rPr>
          <w:i/>
          <w:iCs/>
        </w:rPr>
        <w:t xml:space="preserve"> for require</w:t>
      </w:r>
      <w:r w:rsidR="59972C08" w:rsidRPr="78130BE9">
        <w:rPr>
          <w:i/>
          <w:iCs/>
        </w:rPr>
        <w:t>ments</w:t>
      </w:r>
      <w:r w:rsidRPr="78130BE9">
        <w:rPr>
          <w:i/>
          <w:iCs/>
        </w:rPr>
        <w:t xml:space="preserve">. DFAT will provide more specific guidance for PHR partners. </w:t>
      </w:r>
    </w:p>
    <w:p w14:paraId="3D143860" w14:textId="77777777" w:rsidR="00014346" w:rsidRDefault="00014346" w:rsidP="00EC2C0F">
      <w:pPr>
        <w:pStyle w:val="Heading5"/>
      </w:pPr>
      <w:r>
        <w:t>E</w:t>
      </w:r>
      <w:r w:rsidRPr="00503ECE">
        <w:t>valuation and strategic review</w:t>
      </w:r>
      <w:r w:rsidRPr="000A2CB4">
        <w:t xml:space="preserve"> </w:t>
      </w:r>
    </w:p>
    <w:p w14:paraId="4BC3971D" w14:textId="77777777" w:rsidR="00014346" w:rsidRPr="00F423DF" w:rsidRDefault="00014346" w:rsidP="00014346">
      <w:pPr>
        <w:spacing w:before="60" w:after="60"/>
        <w:contextualSpacing/>
        <w:rPr>
          <w:b/>
          <w:bCs/>
          <w:i/>
          <w:iCs/>
        </w:rPr>
      </w:pPr>
      <w:r w:rsidRPr="00F423DF">
        <w:rPr>
          <w:b/>
          <w:bCs/>
          <w:i/>
          <w:iCs/>
        </w:rPr>
        <w:t>Ref 5.1, 5.15</w:t>
      </w:r>
    </w:p>
    <w:p w14:paraId="2988FE04" w14:textId="7BE0F073" w:rsidR="00014346" w:rsidRDefault="00014346" w:rsidP="26134177">
      <w:pPr>
        <w:spacing w:before="60" w:after="60"/>
        <w:contextualSpacing/>
        <w:rPr>
          <w:i/>
          <w:iCs/>
        </w:rPr>
      </w:pPr>
      <w:r w:rsidRPr="26134177">
        <w:rPr>
          <w:i/>
          <w:iCs/>
        </w:rPr>
        <w:t>Include the dates of planned program reviews, mid-term reviews or evaluations. It is good practice to have at least one independent assessment (and for higher value and longer-term programs, this is standard). If the program includes a technical advisory group (or similar) include an outline of their T</w:t>
      </w:r>
      <w:r w:rsidR="57720C9C" w:rsidRPr="26134177">
        <w:rPr>
          <w:i/>
          <w:iCs/>
        </w:rPr>
        <w:t>erms of</w:t>
      </w:r>
      <w:r w:rsidR="106F63B7" w:rsidRPr="26134177">
        <w:rPr>
          <w:i/>
          <w:iCs/>
        </w:rPr>
        <w:t xml:space="preserve"> </w:t>
      </w:r>
      <w:r w:rsidRPr="26134177">
        <w:rPr>
          <w:i/>
          <w:iCs/>
        </w:rPr>
        <w:t>R</w:t>
      </w:r>
      <w:r w:rsidR="106F63B7" w:rsidRPr="26134177">
        <w:rPr>
          <w:i/>
          <w:iCs/>
        </w:rPr>
        <w:t>eference</w:t>
      </w:r>
      <w:r w:rsidRPr="26134177">
        <w:rPr>
          <w:i/>
          <w:iCs/>
        </w:rPr>
        <w:t xml:space="preserve">. Include any other processes for strategic review e.g., partner Government review meetings. </w:t>
      </w:r>
    </w:p>
    <w:p w14:paraId="0785A810" w14:textId="77777777" w:rsidR="00014346" w:rsidRDefault="00014346" w:rsidP="00EC2C0F">
      <w:pPr>
        <w:pStyle w:val="Heading5"/>
      </w:pPr>
      <w:r w:rsidRPr="00503ECE">
        <w:t>Program learning</w:t>
      </w:r>
    </w:p>
    <w:p w14:paraId="2D8D21AA" w14:textId="77777777" w:rsidR="00014346" w:rsidRPr="005034F5" w:rsidRDefault="00014346" w:rsidP="00014346">
      <w:pPr>
        <w:spacing w:before="60" w:after="60"/>
        <w:contextualSpacing/>
        <w:rPr>
          <w:b/>
          <w:bCs/>
          <w:i/>
          <w:iCs/>
        </w:rPr>
      </w:pPr>
      <w:r w:rsidRPr="6EF56580">
        <w:rPr>
          <w:b/>
          <w:bCs/>
          <w:i/>
          <w:iCs/>
        </w:rPr>
        <w:t>Ref 5.6, 5.14</w:t>
      </w:r>
    </w:p>
    <w:p w14:paraId="1A5144E9" w14:textId="77777777" w:rsidR="00014346" w:rsidRPr="00F423DF" w:rsidRDefault="00014346" w:rsidP="00014346">
      <w:pPr>
        <w:spacing w:before="60" w:after="60"/>
        <w:contextualSpacing/>
        <w:rPr>
          <w:i/>
          <w:iCs/>
        </w:rPr>
      </w:pPr>
      <w:r w:rsidRPr="00F423DF">
        <w:rPr>
          <w:i/>
          <w:iCs/>
        </w:rPr>
        <w:t>Describe how program learning will occur through the program</w:t>
      </w:r>
      <w:r>
        <w:rPr>
          <w:i/>
          <w:iCs/>
        </w:rPr>
        <w:t>.</w:t>
      </w:r>
      <w:r w:rsidRPr="00F423DF">
        <w:rPr>
          <w:i/>
          <w:iCs/>
        </w:rPr>
        <w:t xml:space="preserve"> </w:t>
      </w:r>
      <w:r>
        <w:rPr>
          <w:i/>
          <w:iCs/>
        </w:rPr>
        <w:t xml:space="preserve">This should relate to the key evaluation questions, and/or the needs of M&amp;E users or program stakeholders. </w:t>
      </w:r>
    </w:p>
    <w:p w14:paraId="3ACD636E" w14:textId="77777777" w:rsidR="00014346" w:rsidRDefault="00014346" w:rsidP="003A3BC7">
      <w:pPr>
        <w:pStyle w:val="Heading4"/>
      </w:pPr>
      <w:r>
        <w:t>R</w:t>
      </w:r>
      <w:r w:rsidRPr="00503ECE">
        <w:t xml:space="preserve">esourcing and </w:t>
      </w:r>
      <w:r>
        <w:t>I</w:t>
      </w:r>
      <w:r w:rsidRPr="00503ECE">
        <w:t xml:space="preserve">mplementation  </w:t>
      </w:r>
    </w:p>
    <w:p w14:paraId="746C430E" w14:textId="49265BD0" w:rsidR="00014346" w:rsidRDefault="00014346" w:rsidP="26134177">
      <w:pPr>
        <w:spacing w:before="60" w:after="60"/>
        <w:rPr>
          <w:b/>
          <w:bCs/>
          <w:i/>
          <w:iCs/>
        </w:rPr>
      </w:pPr>
      <w:r w:rsidRPr="26134177">
        <w:rPr>
          <w:b/>
          <w:bCs/>
          <w:i/>
          <w:iCs/>
        </w:rPr>
        <w:t>Ref 5.17</w:t>
      </w:r>
      <w:r w:rsidR="1D9C971A" w:rsidRPr="26134177">
        <w:rPr>
          <w:b/>
          <w:bCs/>
          <w:i/>
          <w:iCs/>
        </w:rPr>
        <w:t>, 5.31</w:t>
      </w:r>
    </w:p>
    <w:p w14:paraId="785576F4" w14:textId="77777777" w:rsidR="00014346" w:rsidRDefault="00014346" w:rsidP="00014346">
      <w:pPr>
        <w:spacing w:before="60" w:after="60"/>
        <w:rPr>
          <w:i/>
          <w:iCs/>
        </w:rPr>
      </w:pPr>
      <w:r>
        <w:rPr>
          <w:i/>
          <w:iCs/>
        </w:rPr>
        <w:t xml:space="preserve">Describe how program leadership/managers will oversee the MEL system and its use for decision making accountability and learning. The role of leaders in driving use of the MEL system is key to its success, and often overlooked during implementation. </w:t>
      </w:r>
    </w:p>
    <w:p w14:paraId="01C16D0C" w14:textId="30A9DD24" w:rsidR="00014346" w:rsidRDefault="00014346" w:rsidP="26134177">
      <w:pPr>
        <w:spacing w:before="60" w:after="60"/>
        <w:rPr>
          <w:b/>
          <w:bCs/>
          <w:i/>
          <w:iCs/>
        </w:rPr>
      </w:pPr>
      <w:r w:rsidRPr="26134177">
        <w:rPr>
          <w:b/>
          <w:bCs/>
          <w:i/>
          <w:iCs/>
        </w:rPr>
        <w:t>Ref 5.21, 5.34</w:t>
      </w:r>
    </w:p>
    <w:p w14:paraId="74812951" w14:textId="77777777" w:rsidR="00014346" w:rsidRPr="00F423DF" w:rsidRDefault="00014346" w:rsidP="26134177">
      <w:pPr>
        <w:spacing w:before="60" w:after="60"/>
        <w:rPr>
          <w:i/>
          <w:iCs/>
        </w:rPr>
      </w:pPr>
      <w:r w:rsidRPr="26134177">
        <w:rPr>
          <w:i/>
          <w:iCs/>
        </w:rPr>
        <w:t>Include a budget for MEL activities. Note the DFAT standards guidance is that MEL budget should be 4-7% of the total budget for more predictable programs and up to 10% for highly flexible and adaptive programs</w:t>
      </w:r>
      <w:r w:rsidRPr="26134177">
        <w:rPr>
          <w:b/>
          <w:bCs/>
          <w:i/>
          <w:iCs/>
        </w:rPr>
        <w:t>.</w:t>
      </w:r>
    </w:p>
    <w:p w14:paraId="18B421EC" w14:textId="639C376A" w:rsidR="00014346" w:rsidRPr="00F423DF" w:rsidRDefault="2578C4AD" w:rsidP="39945DB7">
      <w:pPr>
        <w:spacing w:before="60" w:after="60"/>
        <w:rPr>
          <w:i/>
          <w:iCs/>
        </w:rPr>
      </w:pPr>
      <w:r w:rsidRPr="39945DB7">
        <w:rPr>
          <w:b/>
          <w:bCs/>
          <w:i/>
          <w:iCs/>
        </w:rPr>
        <w:t>Ref 5.19, 5.20</w:t>
      </w:r>
      <w:r w:rsidR="68D339CF" w:rsidRPr="39945DB7">
        <w:rPr>
          <w:b/>
          <w:bCs/>
          <w:i/>
          <w:iCs/>
        </w:rPr>
        <w:t xml:space="preserve"> </w:t>
      </w:r>
      <w:r w:rsidRPr="39945DB7">
        <w:rPr>
          <w:i/>
          <w:iCs/>
        </w:rPr>
        <w:t xml:space="preserve">Annex a MEL implementation plan/schedule that indicates when all key activities will be carried out. Specific people are allocated to tasks, and allocated time and resources to complete them. </w:t>
      </w:r>
      <w:r w:rsidRPr="39945DB7">
        <w:rPr>
          <w:b/>
          <w:bCs/>
          <w:i/>
          <w:iCs/>
        </w:rPr>
        <w:t xml:space="preserve"> </w:t>
      </w:r>
    </w:p>
    <w:p w14:paraId="51862C8E" w14:textId="77777777" w:rsidR="00014346" w:rsidRDefault="00014346" w:rsidP="003A3BC7">
      <w:pPr>
        <w:pStyle w:val="Heading4"/>
      </w:pPr>
      <w:r w:rsidRPr="00503ECE">
        <w:t xml:space="preserve">Risks </w:t>
      </w:r>
    </w:p>
    <w:p w14:paraId="23682AEA" w14:textId="77777777" w:rsidR="00014346" w:rsidRDefault="00014346" w:rsidP="00014346">
      <w:pPr>
        <w:spacing w:before="60" w:after="60"/>
        <w:contextualSpacing/>
        <w:rPr>
          <w:b/>
          <w:bCs/>
          <w:i/>
          <w:iCs/>
        </w:rPr>
      </w:pPr>
      <w:r w:rsidRPr="000E57C9">
        <w:rPr>
          <w:b/>
          <w:bCs/>
          <w:i/>
          <w:iCs/>
        </w:rPr>
        <w:t>Ref 5.2</w:t>
      </w:r>
      <w:r>
        <w:rPr>
          <w:b/>
          <w:bCs/>
          <w:i/>
          <w:iCs/>
        </w:rPr>
        <w:t>, 5.11</w:t>
      </w:r>
      <w:r w:rsidRPr="000E57C9">
        <w:rPr>
          <w:b/>
          <w:bCs/>
          <w:i/>
          <w:iCs/>
        </w:rPr>
        <w:t xml:space="preserve"> </w:t>
      </w:r>
    </w:p>
    <w:p w14:paraId="6A78FBB3" w14:textId="503BA353" w:rsidR="16AB8504" w:rsidRDefault="16AB8504" w:rsidP="00EC34CF">
      <w:pPr>
        <w:pStyle w:val="Listparagraph-bullets-secondlevel"/>
        <w:rPr>
          <w:rFonts w:eastAsiaTheme="minorEastAsia"/>
        </w:rPr>
      </w:pPr>
      <w:r w:rsidRPr="78130BE9">
        <w:lastRenderedPageBreak/>
        <w:t xml:space="preserve">The MEL plan should address how risks to </w:t>
      </w:r>
      <w:r w:rsidRPr="78130BE9">
        <w:rPr>
          <w:u w:val="single"/>
        </w:rPr>
        <w:t>achieving outcomes</w:t>
      </w:r>
      <w:r w:rsidRPr="78130BE9">
        <w:t xml:space="preserve">, based on the Program Logic, will be monitored. It should also identify risks to </w:t>
      </w:r>
      <w:r w:rsidRPr="78130BE9">
        <w:rPr>
          <w:u w:val="single"/>
        </w:rPr>
        <w:t>implementing the MEL Plan</w:t>
      </w:r>
      <w:r w:rsidRPr="78130BE9">
        <w:t xml:space="preserve">. Risk management will be addressed more comprehensively in the Program Design and Progress Reports. </w:t>
      </w:r>
    </w:p>
    <w:p w14:paraId="0B53BB58" w14:textId="7884EAF7" w:rsidR="78130BE9" w:rsidRDefault="78130BE9" w:rsidP="005F3D62"/>
    <w:sectPr w:rsidR="78130BE9" w:rsidSect="008867FE">
      <w:headerReference w:type="default" r:id="rId19"/>
      <w:footerReference w:type="default" r:id="rId20"/>
      <w:pgSz w:w="11906" w:h="16838" w:code="9"/>
      <w:pgMar w:top="1560" w:right="1134" w:bottom="1134" w:left="1134" w:header="510" w:footer="45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D615" w14:textId="77777777" w:rsidR="007C42C7" w:rsidRDefault="007C42C7" w:rsidP="0088604C">
      <w:pPr>
        <w:spacing w:before="0" w:after="0" w:line="240" w:lineRule="auto"/>
      </w:pPr>
      <w:r>
        <w:separator/>
      </w:r>
    </w:p>
  </w:endnote>
  <w:endnote w:type="continuationSeparator" w:id="0">
    <w:p w14:paraId="44790A71" w14:textId="77777777" w:rsidR="007C42C7" w:rsidRDefault="007C42C7" w:rsidP="0088604C">
      <w:pPr>
        <w:spacing w:before="0" w:after="0" w:line="240" w:lineRule="auto"/>
      </w:pPr>
      <w:r>
        <w:continuationSeparator/>
      </w:r>
    </w:p>
  </w:endnote>
  <w:endnote w:type="continuationNotice" w:id="1">
    <w:p w14:paraId="74A5CF4F" w14:textId="77777777" w:rsidR="007C42C7" w:rsidRDefault="007C42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422068415"/>
      <w:docPartObj>
        <w:docPartGallery w:val="Page Numbers (Bottom of Page)"/>
        <w:docPartUnique/>
      </w:docPartObj>
    </w:sdtPr>
    <w:sdtEndPr>
      <w:rPr>
        <w:noProof/>
      </w:rPr>
    </w:sdtEndPr>
    <w:sdtContent>
      <w:p w14:paraId="0FD6E061" w14:textId="341BD25B" w:rsidR="00BF343A" w:rsidRPr="00096B0C" w:rsidRDefault="00BF343A">
        <w:pPr>
          <w:pStyle w:val="Footer"/>
          <w:jc w:val="right"/>
          <w:rPr>
            <w:color w:val="auto"/>
          </w:rPr>
        </w:pPr>
        <w:r w:rsidRPr="00096B0C">
          <w:rPr>
            <w:color w:val="auto"/>
          </w:rPr>
          <w:fldChar w:fldCharType="begin"/>
        </w:r>
        <w:r w:rsidRPr="00096B0C">
          <w:rPr>
            <w:color w:val="auto"/>
          </w:rPr>
          <w:instrText xml:space="preserve"> PAGE   \* MERGEFORMAT </w:instrText>
        </w:r>
        <w:r w:rsidRPr="00096B0C">
          <w:rPr>
            <w:color w:val="auto"/>
          </w:rPr>
          <w:fldChar w:fldCharType="separate"/>
        </w:r>
        <w:r w:rsidRPr="00096B0C">
          <w:rPr>
            <w:noProof/>
            <w:color w:val="auto"/>
          </w:rPr>
          <w:t>2</w:t>
        </w:r>
        <w:r w:rsidRPr="00096B0C">
          <w:rPr>
            <w:noProof/>
            <w:color w:val="auto"/>
          </w:rPr>
          <w:fldChar w:fldCharType="end"/>
        </w:r>
      </w:p>
    </w:sdtContent>
  </w:sdt>
  <w:p w14:paraId="5D1F1D56" w14:textId="77777777" w:rsidR="00BF343A" w:rsidRDefault="00BF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4C59" w14:textId="77777777" w:rsidR="007C42C7" w:rsidRDefault="007C42C7" w:rsidP="0088604C">
      <w:pPr>
        <w:spacing w:before="0" w:after="0" w:line="240" w:lineRule="auto"/>
      </w:pPr>
      <w:r>
        <w:separator/>
      </w:r>
    </w:p>
  </w:footnote>
  <w:footnote w:type="continuationSeparator" w:id="0">
    <w:p w14:paraId="6AB00E64" w14:textId="77777777" w:rsidR="007C42C7" w:rsidRDefault="007C42C7" w:rsidP="0088604C">
      <w:pPr>
        <w:spacing w:before="0" w:after="0" w:line="240" w:lineRule="auto"/>
      </w:pPr>
      <w:r>
        <w:continuationSeparator/>
      </w:r>
    </w:p>
  </w:footnote>
  <w:footnote w:type="continuationNotice" w:id="1">
    <w:p w14:paraId="4B44E896" w14:textId="77777777" w:rsidR="007C42C7" w:rsidRDefault="007C42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9D0" w14:textId="0C3E92A0" w:rsidR="00BF343A" w:rsidRDefault="00DB2068" w:rsidP="00833264">
    <w:pPr>
      <w:pStyle w:val="Tablerowcolumnheading"/>
    </w:pPr>
    <w:sdt>
      <w:sdtPr>
        <w:rPr>
          <w:rStyle w:val="Classification"/>
        </w:rPr>
        <w:alias w:val="Classification"/>
        <w:tag w:val="Classification"/>
        <w:id w:val="-325819393"/>
        <w:dropDownList>
          <w:listItem w:displayText="CLASSIFICATION:PLEASE CHOOSE" w:value="CLASSIFICATION:PLEASE CHOOSE"/>
          <w:listItem w:displayText="OFFICIAL" w:value="OFFICIAL"/>
          <w:listItem w:displayText="OFFICIAL:Sensitive" w:value="OFFICIAL:Sensitive"/>
          <w:listItem w:displayText="PROTECTED" w:value="PROTECTED"/>
        </w:dropDownList>
      </w:sdtPr>
      <w:sdtEndPr>
        <w:rPr>
          <w:rStyle w:val="Classification"/>
        </w:rPr>
      </w:sdtEndPr>
      <w:sdtContent>
        <w:r w:rsidR="00BF343A">
          <w:rPr>
            <w:rStyle w:val="Classification"/>
          </w:rPr>
          <w:t>OFFICIAL</w:t>
        </w:r>
      </w:sdtContent>
    </w:sdt>
    <w:r w:rsidR="00BF343A">
      <w:rPr>
        <w:noProof/>
      </w:rPr>
      <w:drawing>
        <wp:anchor distT="0" distB="0" distL="114300" distR="114300" simplePos="0" relativeHeight="251658240" behindDoc="1" locked="1" layoutInCell="1" allowOverlap="1" wp14:anchorId="47B2318D" wp14:editId="274C8148">
          <wp:simplePos x="0" y="0"/>
          <wp:positionH relativeFrom="page">
            <wp:align>right</wp:align>
          </wp:positionH>
          <wp:positionV relativeFrom="page">
            <wp:posOffset>311150</wp:posOffset>
          </wp:positionV>
          <wp:extent cx="7536180" cy="7899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6180" cy="789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E01C1A"/>
    <w:lvl w:ilvl="0">
      <w:start w:val="1"/>
      <w:numFmt w:val="decimal"/>
      <w:pStyle w:val="ListNumber"/>
      <w:lvlText w:val="%1."/>
      <w:lvlJc w:val="left"/>
      <w:pPr>
        <w:tabs>
          <w:tab w:val="num" w:pos="360"/>
        </w:tabs>
        <w:ind w:left="360" w:hanging="360"/>
      </w:pPr>
    </w:lvl>
  </w:abstractNum>
  <w:abstractNum w:abstractNumId="1" w15:restartNumberingAfterBreak="0">
    <w:nsid w:val="13BF4369"/>
    <w:multiLevelType w:val="hybridMultilevel"/>
    <w:tmpl w:val="34C4A4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37FDA3"/>
    <w:multiLevelType w:val="hybridMultilevel"/>
    <w:tmpl w:val="BA40BE0C"/>
    <w:lvl w:ilvl="0" w:tplc="50343DDA">
      <w:start w:val="1"/>
      <w:numFmt w:val="bullet"/>
      <w:lvlText w:val="-"/>
      <w:lvlJc w:val="left"/>
      <w:pPr>
        <w:ind w:left="360" w:hanging="360"/>
      </w:pPr>
      <w:rPr>
        <w:rFonts w:ascii="Calibri" w:hAnsi="Calibri" w:hint="default"/>
      </w:rPr>
    </w:lvl>
    <w:lvl w:ilvl="1" w:tplc="20721796">
      <w:start w:val="1"/>
      <w:numFmt w:val="bullet"/>
      <w:lvlText w:val="o"/>
      <w:lvlJc w:val="left"/>
      <w:pPr>
        <w:ind w:left="1080" w:hanging="360"/>
      </w:pPr>
      <w:rPr>
        <w:rFonts w:ascii="Courier New" w:hAnsi="Courier New" w:hint="default"/>
      </w:rPr>
    </w:lvl>
    <w:lvl w:ilvl="2" w:tplc="3F5AE146">
      <w:start w:val="1"/>
      <w:numFmt w:val="bullet"/>
      <w:lvlText w:val=""/>
      <w:lvlJc w:val="left"/>
      <w:pPr>
        <w:ind w:left="1800" w:hanging="360"/>
      </w:pPr>
      <w:rPr>
        <w:rFonts w:ascii="Wingdings" w:hAnsi="Wingdings" w:hint="default"/>
      </w:rPr>
    </w:lvl>
    <w:lvl w:ilvl="3" w:tplc="CC4635D0">
      <w:start w:val="1"/>
      <w:numFmt w:val="bullet"/>
      <w:lvlText w:val=""/>
      <w:lvlJc w:val="left"/>
      <w:pPr>
        <w:ind w:left="2520" w:hanging="360"/>
      </w:pPr>
      <w:rPr>
        <w:rFonts w:ascii="Symbol" w:hAnsi="Symbol" w:hint="default"/>
      </w:rPr>
    </w:lvl>
    <w:lvl w:ilvl="4" w:tplc="D84EA56E">
      <w:start w:val="1"/>
      <w:numFmt w:val="bullet"/>
      <w:lvlText w:val="o"/>
      <w:lvlJc w:val="left"/>
      <w:pPr>
        <w:ind w:left="3240" w:hanging="360"/>
      </w:pPr>
      <w:rPr>
        <w:rFonts w:ascii="Courier New" w:hAnsi="Courier New" w:hint="default"/>
      </w:rPr>
    </w:lvl>
    <w:lvl w:ilvl="5" w:tplc="FFA625A4">
      <w:start w:val="1"/>
      <w:numFmt w:val="bullet"/>
      <w:lvlText w:val=""/>
      <w:lvlJc w:val="left"/>
      <w:pPr>
        <w:ind w:left="3960" w:hanging="360"/>
      </w:pPr>
      <w:rPr>
        <w:rFonts w:ascii="Wingdings" w:hAnsi="Wingdings" w:hint="default"/>
      </w:rPr>
    </w:lvl>
    <w:lvl w:ilvl="6" w:tplc="804C7850">
      <w:start w:val="1"/>
      <w:numFmt w:val="bullet"/>
      <w:lvlText w:val=""/>
      <w:lvlJc w:val="left"/>
      <w:pPr>
        <w:ind w:left="4680" w:hanging="360"/>
      </w:pPr>
      <w:rPr>
        <w:rFonts w:ascii="Symbol" w:hAnsi="Symbol" w:hint="default"/>
      </w:rPr>
    </w:lvl>
    <w:lvl w:ilvl="7" w:tplc="22A8CBE2">
      <w:start w:val="1"/>
      <w:numFmt w:val="bullet"/>
      <w:lvlText w:val="o"/>
      <w:lvlJc w:val="left"/>
      <w:pPr>
        <w:ind w:left="5400" w:hanging="360"/>
      </w:pPr>
      <w:rPr>
        <w:rFonts w:ascii="Courier New" w:hAnsi="Courier New" w:hint="default"/>
      </w:rPr>
    </w:lvl>
    <w:lvl w:ilvl="8" w:tplc="4EAC7B56">
      <w:start w:val="1"/>
      <w:numFmt w:val="bullet"/>
      <w:lvlText w:val=""/>
      <w:lvlJc w:val="left"/>
      <w:pPr>
        <w:ind w:left="6120" w:hanging="360"/>
      </w:pPr>
      <w:rPr>
        <w:rFonts w:ascii="Wingdings" w:hAnsi="Wingdings" w:hint="default"/>
      </w:rPr>
    </w:lvl>
  </w:abstractNum>
  <w:abstractNum w:abstractNumId="3" w15:restartNumberingAfterBreak="0">
    <w:nsid w:val="200462B3"/>
    <w:multiLevelType w:val="hybridMultilevel"/>
    <w:tmpl w:val="31F63C0C"/>
    <w:lvl w:ilvl="0" w:tplc="1C02E874">
      <w:start w:val="1"/>
      <w:numFmt w:val="bullet"/>
      <w:lvlText w:val=""/>
      <w:lvlJc w:val="left"/>
      <w:pPr>
        <w:ind w:left="720" w:hanging="360"/>
      </w:pPr>
      <w:rPr>
        <w:rFonts w:ascii="Symbol" w:hAnsi="Symbol" w:hint="default"/>
      </w:rPr>
    </w:lvl>
    <w:lvl w:ilvl="1" w:tplc="63947EAE">
      <w:start w:val="1"/>
      <w:numFmt w:val="bullet"/>
      <w:lvlText w:val="o"/>
      <w:lvlJc w:val="left"/>
      <w:pPr>
        <w:ind w:left="1440" w:hanging="360"/>
      </w:pPr>
      <w:rPr>
        <w:rFonts w:ascii="Courier New" w:hAnsi="Courier New" w:hint="default"/>
      </w:rPr>
    </w:lvl>
    <w:lvl w:ilvl="2" w:tplc="80769360">
      <w:start w:val="1"/>
      <w:numFmt w:val="bullet"/>
      <w:lvlText w:val=""/>
      <w:lvlJc w:val="left"/>
      <w:pPr>
        <w:ind w:left="2160" w:hanging="360"/>
      </w:pPr>
      <w:rPr>
        <w:rFonts w:ascii="Wingdings" w:hAnsi="Wingdings" w:hint="default"/>
      </w:rPr>
    </w:lvl>
    <w:lvl w:ilvl="3" w:tplc="54A6C448">
      <w:start w:val="1"/>
      <w:numFmt w:val="bullet"/>
      <w:lvlText w:val=""/>
      <w:lvlJc w:val="left"/>
      <w:pPr>
        <w:ind w:left="2880" w:hanging="360"/>
      </w:pPr>
      <w:rPr>
        <w:rFonts w:ascii="Symbol" w:hAnsi="Symbol" w:hint="default"/>
      </w:rPr>
    </w:lvl>
    <w:lvl w:ilvl="4" w:tplc="90F80BAA">
      <w:start w:val="1"/>
      <w:numFmt w:val="bullet"/>
      <w:lvlText w:val="o"/>
      <w:lvlJc w:val="left"/>
      <w:pPr>
        <w:ind w:left="3600" w:hanging="360"/>
      </w:pPr>
      <w:rPr>
        <w:rFonts w:ascii="Courier New" w:hAnsi="Courier New" w:hint="default"/>
      </w:rPr>
    </w:lvl>
    <w:lvl w:ilvl="5" w:tplc="EBC0AAA0">
      <w:start w:val="1"/>
      <w:numFmt w:val="bullet"/>
      <w:lvlText w:val=""/>
      <w:lvlJc w:val="left"/>
      <w:pPr>
        <w:ind w:left="4320" w:hanging="360"/>
      </w:pPr>
      <w:rPr>
        <w:rFonts w:ascii="Wingdings" w:hAnsi="Wingdings" w:hint="default"/>
      </w:rPr>
    </w:lvl>
    <w:lvl w:ilvl="6" w:tplc="2E8296CE">
      <w:start w:val="1"/>
      <w:numFmt w:val="bullet"/>
      <w:lvlText w:val=""/>
      <w:lvlJc w:val="left"/>
      <w:pPr>
        <w:ind w:left="5040" w:hanging="360"/>
      </w:pPr>
      <w:rPr>
        <w:rFonts w:ascii="Symbol" w:hAnsi="Symbol" w:hint="default"/>
      </w:rPr>
    </w:lvl>
    <w:lvl w:ilvl="7" w:tplc="CD9EAC9A">
      <w:start w:val="1"/>
      <w:numFmt w:val="bullet"/>
      <w:lvlText w:val="o"/>
      <w:lvlJc w:val="left"/>
      <w:pPr>
        <w:ind w:left="5760" w:hanging="360"/>
      </w:pPr>
      <w:rPr>
        <w:rFonts w:ascii="Courier New" w:hAnsi="Courier New" w:hint="default"/>
      </w:rPr>
    </w:lvl>
    <w:lvl w:ilvl="8" w:tplc="419093DA">
      <w:start w:val="1"/>
      <w:numFmt w:val="bullet"/>
      <w:lvlText w:val=""/>
      <w:lvlJc w:val="left"/>
      <w:pPr>
        <w:ind w:left="6480" w:hanging="360"/>
      </w:pPr>
      <w:rPr>
        <w:rFonts w:ascii="Wingdings" w:hAnsi="Wingdings" w:hint="default"/>
      </w:rPr>
    </w:lvl>
  </w:abstractNum>
  <w:abstractNum w:abstractNumId="4" w15:restartNumberingAfterBreak="0">
    <w:nsid w:val="24895AC3"/>
    <w:multiLevelType w:val="hybridMultilevel"/>
    <w:tmpl w:val="9F60AB0A"/>
    <w:lvl w:ilvl="0" w:tplc="33E8A9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D7018F"/>
    <w:multiLevelType w:val="hybridMultilevel"/>
    <w:tmpl w:val="F6D88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96550D"/>
    <w:multiLevelType w:val="hybridMultilevel"/>
    <w:tmpl w:val="957C27A4"/>
    <w:lvl w:ilvl="0" w:tplc="4CAA6332">
      <w:start w:val="1"/>
      <w:numFmt w:val="bullet"/>
      <w:pStyle w:val="Checkboxemptybulletpoi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CB1893"/>
    <w:multiLevelType w:val="hybridMultilevel"/>
    <w:tmpl w:val="C04CA108"/>
    <w:lvl w:ilvl="0" w:tplc="5DA27A8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F56C35"/>
    <w:multiLevelType w:val="hybridMultilevel"/>
    <w:tmpl w:val="4EE659AA"/>
    <w:lvl w:ilvl="0" w:tplc="49666140">
      <w:start w:val="1"/>
      <w:numFmt w:val="bullet"/>
      <w:lvlText w:val=""/>
      <w:lvlJc w:val="left"/>
      <w:pPr>
        <w:ind w:left="720" w:hanging="360"/>
      </w:pPr>
      <w:rPr>
        <w:rFonts w:ascii="Symbol" w:hAnsi="Symbol" w:hint="default"/>
      </w:rPr>
    </w:lvl>
    <w:lvl w:ilvl="1" w:tplc="5FA2550A">
      <w:start w:val="1"/>
      <w:numFmt w:val="bullet"/>
      <w:lvlText w:val="o"/>
      <w:lvlJc w:val="left"/>
      <w:pPr>
        <w:ind w:left="1440" w:hanging="360"/>
      </w:pPr>
      <w:rPr>
        <w:rFonts w:ascii="Courier New" w:hAnsi="Courier New" w:hint="default"/>
      </w:rPr>
    </w:lvl>
    <w:lvl w:ilvl="2" w:tplc="F562704C">
      <w:start w:val="1"/>
      <w:numFmt w:val="bullet"/>
      <w:lvlText w:val=""/>
      <w:lvlJc w:val="left"/>
      <w:pPr>
        <w:ind w:left="2160" w:hanging="360"/>
      </w:pPr>
      <w:rPr>
        <w:rFonts w:ascii="Wingdings" w:hAnsi="Wingdings" w:hint="default"/>
      </w:rPr>
    </w:lvl>
    <w:lvl w:ilvl="3" w:tplc="B01221F4">
      <w:start w:val="1"/>
      <w:numFmt w:val="bullet"/>
      <w:lvlText w:val=""/>
      <w:lvlJc w:val="left"/>
      <w:pPr>
        <w:ind w:left="2880" w:hanging="360"/>
      </w:pPr>
      <w:rPr>
        <w:rFonts w:ascii="Symbol" w:hAnsi="Symbol" w:hint="default"/>
      </w:rPr>
    </w:lvl>
    <w:lvl w:ilvl="4" w:tplc="0E623A82">
      <w:start w:val="1"/>
      <w:numFmt w:val="bullet"/>
      <w:lvlText w:val="o"/>
      <w:lvlJc w:val="left"/>
      <w:pPr>
        <w:ind w:left="3600" w:hanging="360"/>
      </w:pPr>
      <w:rPr>
        <w:rFonts w:ascii="Courier New" w:hAnsi="Courier New" w:hint="default"/>
      </w:rPr>
    </w:lvl>
    <w:lvl w:ilvl="5" w:tplc="FFFC03FC">
      <w:start w:val="1"/>
      <w:numFmt w:val="bullet"/>
      <w:lvlText w:val=""/>
      <w:lvlJc w:val="left"/>
      <w:pPr>
        <w:ind w:left="4320" w:hanging="360"/>
      </w:pPr>
      <w:rPr>
        <w:rFonts w:ascii="Wingdings" w:hAnsi="Wingdings" w:hint="default"/>
      </w:rPr>
    </w:lvl>
    <w:lvl w:ilvl="6" w:tplc="1CF8C384">
      <w:start w:val="1"/>
      <w:numFmt w:val="bullet"/>
      <w:lvlText w:val=""/>
      <w:lvlJc w:val="left"/>
      <w:pPr>
        <w:ind w:left="5040" w:hanging="360"/>
      </w:pPr>
      <w:rPr>
        <w:rFonts w:ascii="Symbol" w:hAnsi="Symbol" w:hint="default"/>
      </w:rPr>
    </w:lvl>
    <w:lvl w:ilvl="7" w:tplc="461C23E2">
      <w:start w:val="1"/>
      <w:numFmt w:val="bullet"/>
      <w:lvlText w:val="o"/>
      <w:lvlJc w:val="left"/>
      <w:pPr>
        <w:ind w:left="5760" w:hanging="360"/>
      </w:pPr>
      <w:rPr>
        <w:rFonts w:ascii="Courier New" w:hAnsi="Courier New" w:hint="default"/>
      </w:rPr>
    </w:lvl>
    <w:lvl w:ilvl="8" w:tplc="E71A759C">
      <w:start w:val="1"/>
      <w:numFmt w:val="bullet"/>
      <w:lvlText w:val=""/>
      <w:lvlJc w:val="left"/>
      <w:pPr>
        <w:ind w:left="6480" w:hanging="360"/>
      </w:pPr>
      <w:rPr>
        <w:rFonts w:ascii="Wingdings" w:hAnsi="Wingdings" w:hint="default"/>
      </w:rPr>
    </w:lvl>
  </w:abstractNum>
  <w:abstractNum w:abstractNumId="9" w15:restartNumberingAfterBreak="0">
    <w:nsid w:val="351644DF"/>
    <w:multiLevelType w:val="multilevel"/>
    <w:tmpl w:val="F8D46A88"/>
    <w:styleLink w:val="DFA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DAF97A"/>
    <w:multiLevelType w:val="multilevel"/>
    <w:tmpl w:val="6F8847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900CDB8"/>
    <w:multiLevelType w:val="hybridMultilevel"/>
    <w:tmpl w:val="A6849CFA"/>
    <w:lvl w:ilvl="0" w:tplc="BCC8F7F2">
      <w:start w:val="1"/>
      <w:numFmt w:val="bullet"/>
      <w:lvlText w:val=""/>
      <w:lvlJc w:val="left"/>
      <w:pPr>
        <w:ind w:left="720" w:hanging="360"/>
      </w:pPr>
      <w:rPr>
        <w:rFonts w:ascii="Symbol" w:hAnsi="Symbol" w:hint="default"/>
      </w:rPr>
    </w:lvl>
    <w:lvl w:ilvl="1" w:tplc="9E7685CC">
      <w:start w:val="1"/>
      <w:numFmt w:val="bullet"/>
      <w:lvlText w:val="o"/>
      <w:lvlJc w:val="left"/>
      <w:pPr>
        <w:ind w:left="1440" w:hanging="360"/>
      </w:pPr>
      <w:rPr>
        <w:rFonts w:ascii="Courier New" w:hAnsi="Courier New" w:hint="default"/>
      </w:rPr>
    </w:lvl>
    <w:lvl w:ilvl="2" w:tplc="41F239AC">
      <w:start w:val="1"/>
      <w:numFmt w:val="bullet"/>
      <w:lvlText w:val=""/>
      <w:lvlJc w:val="left"/>
      <w:pPr>
        <w:ind w:left="2160" w:hanging="360"/>
      </w:pPr>
      <w:rPr>
        <w:rFonts w:ascii="Wingdings" w:hAnsi="Wingdings" w:hint="default"/>
      </w:rPr>
    </w:lvl>
    <w:lvl w:ilvl="3" w:tplc="E10AD4EE">
      <w:start w:val="1"/>
      <w:numFmt w:val="bullet"/>
      <w:lvlText w:val=""/>
      <w:lvlJc w:val="left"/>
      <w:pPr>
        <w:ind w:left="2880" w:hanging="360"/>
      </w:pPr>
      <w:rPr>
        <w:rFonts w:ascii="Symbol" w:hAnsi="Symbol" w:hint="default"/>
      </w:rPr>
    </w:lvl>
    <w:lvl w:ilvl="4" w:tplc="5E068328">
      <w:start w:val="1"/>
      <w:numFmt w:val="bullet"/>
      <w:lvlText w:val="o"/>
      <w:lvlJc w:val="left"/>
      <w:pPr>
        <w:ind w:left="3600" w:hanging="360"/>
      </w:pPr>
      <w:rPr>
        <w:rFonts w:ascii="Courier New" w:hAnsi="Courier New" w:hint="default"/>
      </w:rPr>
    </w:lvl>
    <w:lvl w:ilvl="5" w:tplc="F9FCBDAA">
      <w:start w:val="1"/>
      <w:numFmt w:val="bullet"/>
      <w:lvlText w:val=""/>
      <w:lvlJc w:val="left"/>
      <w:pPr>
        <w:ind w:left="4320" w:hanging="360"/>
      </w:pPr>
      <w:rPr>
        <w:rFonts w:ascii="Wingdings" w:hAnsi="Wingdings" w:hint="default"/>
      </w:rPr>
    </w:lvl>
    <w:lvl w:ilvl="6" w:tplc="92C8A962">
      <w:start w:val="1"/>
      <w:numFmt w:val="bullet"/>
      <w:lvlText w:val=""/>
      <w:lvlJc w:val="left"/>
      <w:pPr>
        <w:ind w:left="5040" w:hanging="360"/>
      </w:pPr>
      <w:rPr>
        <w:rFonts w:ascii="Symbol" w:hAnsi="Symbol" w:hint="default"/>
      </w:rPr>
    </w:lvl>
    <w:lvl w:ilvl="7" w:tplc="C19AE2E8">
      <w:start w:val="1"/>
      <w:numFmt w:val="bullet"/>
      <w:lvlText w:val="o"/>
      <w:lvlJc w:val="left"/>
      <w:pPr>
        <w:ind w:left="5760" w:hanging="360"/>
      </w:pPr>
      <w:rPr>
        <w:rFonts w:ascii="Courier New" w:hAnsi="Courier New" w:hint="default"/>
      </w:rPr>
    </w:lvl>
    <w:lvl w:ilvl="8" w:tplc="934090BA">
      <w:start w:val="1"/>
      <w:numFmt w:val="bullet"/>
      <w:lvlText w:val=""/>
      <w:lvlJc w:val="left"/>
      <w:pPr>
        <w:ind w:left="6480" w:hanging="360"/>
      </w:pPr>
      <w:rPr>
        <w:rFonts w:ascii="Wingdings" w:hAnsi="Wingdings" w:hint="default"/>
      </w:rPr>
    </w:lvl>
  </w:abstractNum>
  <w:abstractNum w:abstractNumId="12" w15:restartNumberingAfterBreak="0">
    <w:nsid w:val="49046C6E"/>
    <w:multiLevelType w:val="hybridMultilevel"/>
    <w:tmpl w:val="EED64C2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0CF5BDB"/>
    <w:multiLevelType w:val="hybridMultilevel"/>
    <w:tmpl w:val="AAC8258C"/>
    <w:lvl w:ilvl="0" w:tplc="E4620BA8">
      <w:start w:val="1"/>
      <w:numFmt w:val="bullet"/>
      <w:lvlText w:val=""/>
      <w:lvlJc w:val="left"/>
      <w:pPr>
        <w:ind w:left="720" w:hanging="360"/>
      </w:pPr>
      <w:rPr>
        <w:rFonts w:ascii="Symbol" w:hAnsi="Symbol" w:hint="default"/>
      </w:rPr>
    </w:lvl>
    <w:lvl w:ilvl="1" w:tplc="871CDA1A">
      <w:start w:val="1"/>
      <w:numFmt w:val="bullet"/>
      <w:lvlText w:val="o"/>
      <w:lvlJc w:val="left"/>
      <w:pPr>
        <w:ind w:left="1440" w:hanging="360"/>
      </w:pPr>
      <w:rPr>
        <w:rFonts w:ascii="Courier New" w:hAnsi="Courier New" w:hint="default"/>
      </w:rPr>
    </w:lvl>
    <w:lvl w:ilvl="2" w:tplc="93A6BF6A">
      <w:start w:val="1"/>
      <w:numFmt w:val="bullet"/>
      <w:lvlText w:val=""/>
      <w:lvlJc w:val="left"/>
      <w:pPr>
        <w:ind w:left="2160" w:hanging="360"/>
      </w:pPr>
      <w:rPr>
        <w:rFonts w:ascii="Wingdings" w:hAnsi="Wingdings" w:hint="default"/>
      </w:rPr>
    </w:lvl>
    <w:lvl w:ilvl="3" w:tplc="DD34BBC0">
      <w:start w:val="1"/>
      <w:numFmt w:val="bullet"/>
      <w:lvlText w:val=""/>
      <w:lvlJc w:val="left"/>
      <w:pPr>
        <w:ind w:left="2880" w:hanging="360"/>
      </w:pPr>
      <w:rPr>
        <w:rFonts w:ascii="Symbol" w:hAnsi="Symbol" w:hint="default"/>
      </w:rPr>
    </w:lvl>
    <w:lvl w:ilvl="4" w:tplc="6166E0DC">
      <w:start w:val="1"/>
      <w:numFmt w:val="bullet"/>
      <w:lvlText w:val="o"/>
      <w:lvlJc w:val="left"/>
      <w:pPr>
        <w:ind w:left="3600" w:hanging="360"/>
      </w:pPr>
      <w:rPr>
        <w:rFonts w:ascii="Courier New" w:hAnsi="Courier New" w:hint="default"/>
      </w:rPr>
    </w:lvl>
    <w:lvl w:ilvl="5" w:tplc="16E6E008">
      <w:start w:val="1"/>
      <w:numFmt w:val="bullet"/>
      <w:lvlText w:val=""/>
      <w:lvlJc w:val="left"/>
      <w:pPr>
        <w:ind w:left="4320" w:hanging="360"/>
      </w:pPr>
      <w:rPr>
        <w:rFonts w:ascii="Wingdings" w:hAnsi="Wingdings" w:hint="default"/>
      </w:rPr>
    </w:lvl>
    <w:lvl w:ilvl="6" w:tplc="157ED164">
      <w:start w:val="1"/>
      <w:numFmt w:val="bullet"/>
      <w:lvlText w:val=""/>
      <w:lvlJc w:val="left"/>
      <w:pPr>
        <w:ind w:left="5040" w:hanging="360"/>
      </w:pPr>
      <w:rPr>
        <w:rFonts w:ascii="Symbol" w:hAnsi="Symbol" w:hint="default"/>
      </w:rPr>
    </w:lvl>
    <w:lvl w:ilvl="7" w:tplc="A148F1BC">
      <w:start w:val="1"/>
      <w:numFmt w:val="bullet"/>
      <w:lvlText w:val="o"/>
      <w:lvlJc w:val="left"/>
      <w:pPr>
        <w:ind w:left="5760" w:hanging="360"/>
      </w:pPr>
      <w:rPr>
        <w:rFonts w:ascii="Courier New" w:hAnsi="Courier New" w:hint="default"/>
      </w:rPr>
    </w:lvl>
    <w:lvl w:ilvl="8" w:tplc="7D4680CE">
      <w:start w:val="1"/>
      <w:numFmt w:val="bullet"/>
      <w:lvlText w:val=""/>
      <w:lvlJc w:val="left"/>
      <w:pPr>
        <w:ind w:left="6480" w:hanging="360"/>
      </w:pPr>
      <w:rPr>
        <w:rFonts w:ascii="Wingdings" w:hAnsi="Wingdings" w:hint="default"/>
      </w:rPr>
    </w:lvl>
  </w:abstractNum>
  <w:abstractNum w:abstractNumId="14" w15:restartNumberingAfterBreak="0">
    <w:nsid w:val="557A789A"/>
    <w:multiLevelType w:val="hybridMultilevel"/>
    <w:tmpl w:val="E006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401DD"/>
    <w:multiLevelType w:val="multilevel"/>
    <w:tmpl w:val="3DE01C1A"/>
    <w:styleLink w:val="DFATnumberlist"/>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955C73"/>
    <w:multiLevelType w:val="hybridMultilevel"/>
    <w:tmpl w:val="6F50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53BC3"/>
    <w:multiLevelType w:val="hybridMultilevel"/>
    <w:tmpl w:val="F1168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B498B118"/>
    <w:lvl w:ilvl="0" w:tplc="9B3E37D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07481798">
    <w:abstractNumId w:val="2"/>
  </w:num>
  <w:num w:numId="2" w16cid:durableId="1294604984">
    <w:abstractNumId w:val="10"/>
  </w:num>
  <w:num w:numId="3" w16cid:durableId="1613051070">
    <w:abstractNumId w:val="13"/>
  </w:num>
  <w:num w:numId="4" w16cid:durableId="332492267">
    <w:abstractNumId w:val="3"/>
  </w:num>
  <w:num w:numId="5" w16cid:durableId="1952085209">
    <w:abstractNumId w:val="8"/>
  </w:num>
  <w:num w:numId="6" w16cid:durableId="1321959422">
    <w:abstractNumId w:val="11"/>
  </w:num>
  <w:num w:numId="7" w16cid:durableId="2139180955">
    <w:abstractNumId w:val="0"/>
  </w:num>
  <w:num w:numId="8" w16cid:durableId="704597080">
    <w:abstractNumId w:val="9"/>
  </w:num>
  <w:num w:numId="9" w16cid:durableId="213277798">
    <w:abstractNumId w:val="15"/>
  </w:num>
  <w:num w:numId="10" w16cid:durableId="627929001">
    <w:abstractNumId w:val="18"/>
  </w:num>
  <w:num w:numId="11" w16cid:durableId="2037582292">
    <w:abstractNumId w:val="17"/>
  </w:num>
  <w:num w:numId="12" w16cid:durableId="1894779129">
    <w:abstractNumId w:val="1"/>
  </w:num>
  <w:num w:numId="13" w16cid:durableId="1175072101">
    <w:abstractNumId w:val="4"/>
  </w:num>
  <w:num w:numId="14" w16cid:durableId="1216434639">
    <w:abstractNumId w:val="5"/>
  </w:num>
  <w:num w:numId="15" w16cid:durableId="5526746">
    <w:abstractNumId w:val="16"/>
  </w:num>
  <w:num w:numId="16" w16cid:durableId="1637643126">
    <w:abstractNumId w:val="14"/>
  </w:num>
  <w:num w:numId="17" w16cid:durableId="1939676334">
    <w:abstractNumId w:val="12"/>
  </w:num>
  <w:num w:numId="18" w16cid:durableId="1960410015">
    <w:abstractNumId w:val="18"/>
  </w:num>
  <w:num w:numId="19" w16cid:durableId="2084133333">
    <w:abstractNumId w:val="18"/>
  </w:num>
  <w:num w:numId="20" w16cid:durableId="708260177">
    <w:abstractNumId w:val="7"/>
  </w:num>
  <w:num w:numId="21" w16cid:durableId="958999522">
    <w:abstractNumId w:val="6"/>
  </w:num>
  <w:num w:numId="22" w16cid:durableId="118050388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A"/>
    <w:rsid w:val="00000878"/>
    <w:rsid w:val="000008FA"/>
    <w:rsid w:val="00001B12"/>
    <w:rsid w:val="00001D9F"/>
    <w:rsid w:val="00003CE5"/>
    <w:rsid w:val="00005F43"/>
    <w:rsid w:val="000063CB"/>
    <w:rsid w:val="00006B66"/>
    <w:rsid w:val="000074F4"/>
    <w:rsid w:val="00007A3A"/>
    <w:rsid w:val="000117EE"/>
    <w:rsid w:val="00014346"/>
    <w:rsid w:val="00016003"/>
    <w:rsid w:val="00017F09"/>
    <w:rsid w:val="0002061D"/>
    <w:rsid w:val="0002211F"/>
    <w:rsid w:val="0002254F"/>
    <w:rsid w:val="00022A79"/>
    <w:rsid w:val="00022EC7"/>
    <w:rsid w:val="00024C6B"/>
    <w:rsid w:val="00026AEC"/>
    <w:rsid w:val="00030584"/>
    <w:rsid w:val="000310E4"/>
    <w:rsid w:val="00031764"/>
    <w:rsid w:val="00032648"/>
    <w:rsid w:val="00032807"/>
    <w:rsid w:val="0003453D"/>
    <w:rsid w:val="0003489C"/>
    <w:rsid w:val="00036BD3"/>
    <w:rsid w:val="00036F01"/>
    <w:rsid w:val="0003773C"/>
    <w:rsid w:val="000403F3"/>
    <w:rsid w:val="000417D4"/>
    <w:rsid w:val="00042683"/>
    <w:rsid w:val="0004286E"/>
    <w:rsid w:val="0004319F"/>
    <w:rsid w:val="0004393C"/>
    <w:rsid w:val="000445D4"/>
    <w:rsid w:val="00044B76"/>
    <w:rsid w:val="000450E8"/>
    <w:rsid w:val="00046903"/>
    <w:rsid w:val="000477FF"/>
    <w:rsid w:val="00047FCA"/>
    <w:rsid w:val="000539E2"/>
    <w:rsid w:val="00057892"/>
    <w:rsid w:val="00060B6E"/>
    <w:rsid w:val="00062650"/>
    <w:rsid w:val="0006461F"/>
    <w:rsid w:val="00064D05"/>
    <w:rsid w:val="00066531"/>
    <w:rsid w:val="00067619"/>
    <w:rsid w:val="00067E80"/>
    <w:rsid w:val="00071017"/>
    <w:rsid w:val="00071439"/>
    <w:rsid w:val="000716D3"/>
    <w:rsid w:val="00072882"/>
    <w:rsid w:val="00072CE8"/>
    <w:rsid w:val="00073757"/>
    <w:rsid w:val="000738A4"/>
    <w:rsid w:val="00074A33"/>
    <w:rsid w:val="000765CB"/>
    <w:rsid w:val="0007710A"/>
    <w:rsid w:val="00077168"/>
    <w:rsid w:val="00077172"/>
    <w:rsid w:val="00080580"/>
    <w:rsid w:val="00082205"/>
    <w:rsid w:val="00082659"/>
    <w:rsid w:val="00083784"/>
    <w:rsid w:val="00083DA3"/>
    <w:rsid w:val="000842E6"/>
    <w:rsid w:val="000869CE"/>
    <w:rsid w:val="00087067"/>
    <w:rsid w:val="000912A2"/>
    <w:rsid w:val="0009142E"/>
    <w:rsid w:val="00092B54"/>
    <w:rsid w:val="00095B29"/>
    <w:rsid w:val="00096083"/>
    <w:rsid w:val="00096AFA"/>
    <w:rsid w:val="00096B0C"/>
    <w:rsid w:val="000978FC"/>
    <w:rsid w:val="00097DD0"/>
    <w:rsid w:val="000A0482"/>
    <w:rsid w:val="000A08DA"/>
    <w:rsid w:val="000A0AE1"/>
    <w:rsid w:val="000A23D3"/>
    <w:rsid w:val="000A3E8C"/>
    <w:rsid w:val="000A7B61"/>
    <w:rsid w:val="000B123E"/>
    <w:rsid w:val="000B145A"/>
    <w:rsid w:val="000B1C95"/>
    <w:rsid w:val="000B211E"/>
    <w:rsid w:val="000C1397"/>
    <w:rsid w:val="000C2296"/>
    <w:rsid w:val="000C288B"/>
    <w:rsid w:val="000C3403"/>
    <w:rsid w:val="000C5521"/>
    <w:rsid w:val="000C57EE"/>
    <w:rsid w:val="000C5F20"/>
    <w:rsid w:val="000C64D6"/>
    <w:rsid w:val="000C7367"/>
    <w:rsid w:val="000D0BBA"/>
    <w:rsid w:val="000D1073"/>
    <w:rsid w:val="000D2603"/>
    <w:rsid w:val="000D44C7"/>
    <w:rsid w:val="000D4632"/>
    <w:rsid w:val="000D59B9"/>
    <w:rsid w:val="000D7168"/>
    <w:rsid w:val="000E0711"/>
    <w:rsid w:val="000E1EC3"/>
    <w:rsid w:val="000E3DB3"/>
    <w:rsid w:val="000E76D0"/>
    <w:rsid w:val="000F0C65"/>
    <w:rsid w:val="000F0F3B"/>
    <w:rsid w:val="000F16A8"/>
    <w:rsid w:val="000F2409"/>
    <w:rsid w:val="000F2BEC"/>
    <w:rsid w:val="000F4603"/>
    <w:rsid w:val="000F4A6A"/>
    <w:rsid w:val="000F7A53"/>
    <w:rsid w:val="000F7CC7"/>
    <w:rsid w:val="00101ECD"/>
    <w:rsid w:val="00103BCC"/>
    <w:rsid w:val="00111C4C"/>
    <w:rsid w:val="00112AB2"/>
    <w:rsid w:val="00112E53"/>
    <w:rsid w:val="00113AAE"/>
    <w:rsid w:val="00116990"/>
    <w:rsid w:val="00116AC2"/>
    <w:rsid w:val="00116B22"/>
    <w:rsid w:val="00117589"/>
    <w:rsid w:val="00117639"/>
    <w:rsid w:val="00117BEE"/>
    <w:rsid w:val="0012141E"/>
    <w:rsid w:val="00121EC0"/>
    <w:rsid w:val="00122564"/>
    <w:rsid w:val="00122A94"/>
    <w:rsid w:val="00122B1E"/>
    <w:rsid w:val="001237E2"/>
    <w:rsid w:val="00123F07"/>
    <w:rsid w:val="00126B0D"/>
    <w:rsid w:val="00127084"/>
    <w:rsid w:val="00127AB9"/>
    <w:rsid w:val="00130C1E"/>
    <w:rsid w:val="00131D0A"/>
    <w:rsid w:val="00134187"/>
    <w:rsid w:val="00134FC4"/>
    <w:rsid w:val="001351B7"/>
    <w:rsid w:val="00135515"/>
    <w:rsid w:val="001376F9"/>
    <w:rsid w:val="001377CC"/>
    <w:rsid w:val="001407DF"/>
    <w:rsid w:val="00143582"/>
    <w:rsid w:val="00143DF3"/>
    <w:rsid w:val="00143E98"/>
    <w:rsid w:val="001440AD"/>
    <w:rsid w:val="001446C9"/>
    <w:rsid w:val="001452C1"/>
    <w:rsid w:val="00145A8E"/>
    <w:rsid w:val="00145E48"/>
    <w:rsid w:val="00145EB6"/>
    <w:rsid w:val="001462E5"/>
    <w:rsid w:val="0014657E"/>
    <w:rsid w:val="001467DD"/>
    <w:rsid w:val="00146E9C"/>
    <w:rsid w:val="00147B87"/>
    <w:rsid w:val="00150619"/>
    <w:rsid w:val="00150888"/>
    <w:rsid w:val="0015134E"/>
    <w:rsid w:val="00151FAA"/>
    <w:rsid w:val="00153097"/>
    <w:rsid w:val="001545B5"/>
    <w:rsid w:val="00155003"/>
    <w:rsid w:val="001607DB"/>
    <w:rsid w:val="001610FF"/>
    <w:rsid w:val="001618E8"/>
    <w:rsid w:val="00162364"/>
    <w:rsid w:val="00164011"/>
    <w:rsid w:val="001642C3"/>
    <w:rsid w:val="001659CF"/>
    <w:rsid w:val="00167026"/>
    <w:rsid w:val="0017180A"/>
    <w:rsid w:val="00171F1B"/>
    <w:rsid w:val="00172281"/>
    <w:rsid w:val="00176878"/>
    <w:rsid w:val="00177984"/>
    <w:rsid w:val="001824B0"/>
    <w:rsid w:val="00182743"/>
    <w:rsid w:val="00183743"/>
    <w:rsid w:val="00184875"/>
    <w:rsid w:val="00185C1B"/>
    <w:rsid w:val="00185D52"/>
    <w:rsid w:val="00185D8E"/>
    <w:rsid w:val="0018761E"/>
    <w:rsid w:val="00187E78"/>
    <w:rsid w:val="001904C9"/>
    <w:rsid w:val="001906C0"/>
    <w:rsid w:val="001916B4"/>
    <w:rsid w:val="0019203C"/>
    <w:rsid w:val="00193B1B"/>
    <w:rsid w:val="00193D5A"/>
    <w:rsid w:val="001940F0"/>
    <w:rsid w:val="001958EF"/>
    <w:rsid w:val="001A1771"/>
    <w:rsid w:val="001A1F13"/>
    <w:rsid w:val="001A2E6F"/>
    <w:rsid w:val="001A3262"/>
    <w:rsid w:val="001A5A93"/>
    <w:rsid w:val="001A7F94"/>
    <w:rsid w:val="001B0033"/>
    <w:rsid w:val="001B0252"/>
    <w:rsid w:val="001B0B27"/>
    <w:rsid w:val="001B0E3E"/>
    <w:rsid w:val="001B4751"/>
    <w:rsid w:val="001B5024"/>
    <w:rsid w:val="001B5053"/>
    <w:rsid w:val="001C037E"/>
    <w:rsid w:val="001C0422"/>
    <w:rsid w:val="001C088A"/>
    <w:rsid w:val="001C1A2E"/>
    <w:rsid w:val="001C20FD"/>
    <w:rsid w:val="001C23A0"/>
    <w:rsid w:val="001C3A54"/>
    <w:rsid w:val="001C50D0"/>
    <w:rsid w:val="001C6C81"/>
    <w:rsid w:val="001D0111"/>
    <w:rsid w:val="001D05DB"/>
    <w:rsid w:val="001D27C5"/>
    <w:rsid w:val="001D3386"/>
    <w:rsid w:val="001D4F48"/>
    <w:rsid w:val="001E00B6"/>
    <w:rsid w:val="001E7EA6"/>
    <w:rsid w:val="001F07BF"/>
    <w:rsid w:val="001F0F74"/>
    <w:rsid w:val="001F2729"/>
    <w:rsid w:val="001F472C"/>
    <w:rsid w:val="001F5603"/>
    <w:rsid w:val="001F6107"/>
    <w:rsid w:val="001F7FF7"/>
    <w:rsid w:val="00203223"/>
    <w:rsid w:val="002050BB"/>
    <w:rsid w:val="00205853"/>
    <w:rsid w:val="00207D95"/>
    <w:rsid w:val="00210EE2"/>
    <w:rsid w:val="00210F75"/>
    <w:rsid w:val="00212BE0"/>
    <w:rsid w:val="0021361E"/>
    <w:rsid w:val="0021637F"/>
    <w:rsid w:val="00216590"/>
    <w:rsid w:val="00216673"/>
    <w:rsid w:val="00217229"/>
    <w:rsid w:val="00220861"/>
    <w:rsid w:val="00221596"/>
    <w:rsid w:val="002236D5"/>
    <w:rsid w:val="00223C4A"/>
    <w:rsid w:val="00230ECB"/>
    <w:rsid w:val="00233013"/>
    <w:rsid w:val="00234FD8"/>
    <w:rsid w:val="00236282"/>
    <w:rsid w:val="00236C53"/>
    <w:rsid w:val="00237C61"/>
    <w:rsid w:val="00240C9B"/>
    <w:rsid w:val="0024170E"/>
    <w:rsid w:val="00241EA6"/>
    <w:rsid w:val="002421AC"/>
    <w:rsid w:val="00242506"/>
    <w:rsid w:val="00242705"/>
    <w:rsid w:val="0024352A"/>
    <w:rsid w:val="00243687"/>
    <w:rsid w:val="0024620C"/>
    <w:rsid w:val="002479A7"/>
    <w:rsid w:val="0025135F"/>
    <w:rsid w:val="002513AD"/>
    <w:rsid w:val="00255804"/>
    <w:rsid w:val="00257A09"/>
    <w:rsid w:val="00260DC7"/>
    <w:rsid w:val="00260EFE"/>
    <w:rsid w:val="0026151C"/>
    <w:rsid w:val="00262738"/>
    <w:rsid w:val="00262CAB"/>
    <w:rsid w:val="00263BFE"/>
    <w:rsid w:val="00264BF3"/>
    <w:rsid w:val="00265129"/>
    <w:rsid w:val="00265463"/>
    <w:rsid w:val="00265E63"/>
    <w:rsid w:val="002661B6"/>
    <w:rsid w:val="002705AE"/>
    <w:rsid w:val="00270F2F"/>
    <w:rsid w:val="00272E35"/>
    <w:rsid w:val="002733E0"/>
    <w:rsid w:val="002742CC"/>
    <w:rsid w:val="002769D2"/>
    <w:rsid w:val="00280F81"/>
    <w:rsid w:val="00281C65"/>
    <w:rsid w:val="00282147"/>
    <w:rsid w:val="002822CF"/>
    <w:rsid w:val="00282778"/>
    <w:rsid w:val="002828E2"/>
    <w:rsid w:val="00285A22"/>
    <w:rsid w:val="00285D90"/>
    <w:rsid w:val="00285E1B"/>
    <w:rsid w:val="002868C6"/>
    <w:rsid w:val="00287143"/>
    <w:rsid w:val="00291588"/>
    <w:rsid w:val="00293D91"/>
    <w:rsid w:val="00296CE6"/>
    <w:rsid w:val="002975DA"/>
    <w:rsid w:val="00297B41"/>
    <w:rsid w:val="002A08BF"/>
    <w:rsid w:val="002A16DF"/>
    <w:rsid w:val="002A19F8"/>
    <w:rsid w:val="002A25DE"/>
    <w:rsid w:val="002A2C6C"/>
    <w:rsid w:val="002A2EF0"/>
    <w:rsid w:val="002A3113"/>
    <w:rsid w:val="002A4909"/>
    <w:rsid w:val="002A587B"/>
    <w:rsid w:val="002A64E1"/>
    <w:rsid w:val="002A6519"/>
    <w:rsid w:val="002A6DB8"/>
    <w:rsid w:val="002A74D8"/>
    <w:rsid w:val="002A78B6"/>
    <w:rsid w:val="002B000E"/>
    <w:rsid w:val="002B0EF1"/>
    <w:rsid w:val="002B21F6"/>
    <w:rsid w:val="002B301E"/>
    <w:rsid w:val="002B5543"/>
    <w:rsid w:val="002B5544"/>
    <w:rsid w:val="002B620E"/>
    <w:rsid w:val="002B717C"/>
    <w:rsid w:val="002B7641"/>
    <w:rsid w:val="002C020D"/>
    <w:rsid w:val="002C1BCA"/>
    <w:rsid w:val="002C1FC7"/>
    <w:rsid w:val="002C4A32"/>
    <w:rsid w:val="002C621B"/>
    <w:rsid w:val="002C6575"/>
    <w:rsid w:val="002D0E2B"/>
    <w:rsid w:val="002D0EC6"/>
    <w:rsid w:val="002D2164"/>
    <w:rsid w:val="002D4E9F"/>
    <w:rsid w:val="002D7356"/>
    <w:rsid w:val="002E236A"/>
    <w:rsid w:val="002E280A"/>
    <w:rsid w:val="002E5817"/>
    <w:rsid w:val="002E7A59"/>
    <w:rsid w:val="002F00C8"/>
    <w:rsid w:val="002F19B3"/>
    <w:rsid w:val="002F31F1"/>
    <w:rsid w:val="002F49FF"/>
    <w:rsid w:val="002F4E9C"/>
    <w:rsid w:val="002F56E8"/>
    <w:rsid w:val="002F5C92"/>
    <w:rsid w:val="002F687A"/>
    <w:rsid w:val="002F7E1B"/>
    <w:rsid w:val="00300C43"/>
    <w:rsid w:val="00301F5E"/>
    <w:rsid w:val="003028E8"/>
    <w:rsid w:val="003049A9"/>
    <w:rsid w:val="00304C37"/>
    <w:rsid w:val="00307794"/>
    <w:rsid w:val="00312EB6"/>
    <w:rsid w:val="00313DEE"/>
    <w:rsid w:val="0031478B"/>
    <w:rsid w:val="003147CD"/>
    <w:rsid w:val="00314915"/>
    <w:rsid w:val="00314D6A"/>
    <w:rsid w:val="00315AE2"/>
    <w:rsid w:val="00316455"/>
    <w:rsid w:val="00316517"/>
    <w:rsid w:val="0031727F"/>
    <w:rsid w:val="00325F31"/>
    <w:rsid w:val="00326B54"/>
    <w:rsid w:val="00327957"/>
    <w:rsid w:val="00327979"/>
    <w:rsid w:val="0033204B"/>
    <w:rsid w:val="003325A6"/>
    <w:rsid w:val="00333C97"/>
    <w:rsid w:val="0033559E"/>
    <w:rsid w:val="00335A57"/>
    <w:rsid w:val="0033787D"/>
    <w:rsid w:val="00337C9C"/>
    <w:rsid w:val="00340A9B"/>
    <w:rsid w:val="003421D4"/>
    <w:rsid w:val="00342399"/>
    <w:rsid w:val="003441FE"/>
    <w:rsid w:val="00344E7F"/>
    <w:rsid w:val="00345105"/>
    <w:rsid w:val="00345264"/>
    <w:rsid w:val="00346568"/>
    <w:rsid w:val="00346E58"/>
    <w:rsid w:val="00350C87"/>
    <w:rsid w:val="00351A5A"/>
    <w:rsid w:val="00354169"/>
    <w:rsid w:val="00355F64"/>
    <w:rsid w:val="0035637A"/>
    <w:rsid w:val="00356E93"/>
    <w:rsid w:val="00357AD3"/>
    <w:rsid w:val="00357B72"/>
    <w:rsid w:val="00360320"/>
    <w:rsid w:val="00360D39"/>
    <w:rsid w:val="00360E66"/>
    <w:rsid w:val="00361E35"/>
    <w:rsid w:val="0036286B"/>
    <w:rsid w:val="00363466"/>
    <w:rsid w:val="00365296"/>
    <w:rsid w:val="00365770"/>
    <w:rsid w:val="00365E71"/>
    <w:rsid w:val="00366FA7"/>
    <w:rsid w:val="00367A2F"/>
    <w:rsid w:val="00370080"/>
    <w:rsid w:val="0037260A"/>
    <w:rsid w:val="00372879"/>
    <w:rsid w:val="00372DE1"/>
    <w:rsid w:val="0037315A"/>
    <w:rsid w:val="00374290"/>
    <w:rsid w:val="003777B9"/>
    <w:rsid w:val="003809D0"/>
    <w:rsid w:val="00383024"/>
    <w:rsid w:val="003855BD"/>
    <w:rsid w:val="00386B1F"/>
    <w:rsid w:val="00386B26"/>
    <w:rsid w:val="003876EB"/>
    <w:rsid w:val="00393F44"/>
    <w:rsid w:val="00394253"/>
    <w:rsid w:val="003946E0"/>
    <w:rsid w:val="00394C97"/>
    <w:rsid w:val="003950F0"/>
    <w:rsid w:val="00397B54"/>
    <w:rsid w:val="003A0FD8"/>
    <w:rsid w:val="003A14BC"/>
    <w:rsid w:val="003A287A"/>
    <w:rsid w:val="003A2E1B"/>
    <w:rsid w:val="003A3BC7"/>
    <w:rsid w:val="003A3E73"/>
    <w:rsid w:val="003A49D9"/>
    <w:rsid w:val="003A5D91"/>
    <w:rsid w:val="003A615C"/>
    <w:rsid w:val="003A7561"/>
    <w:rsid w:val="003B012B"/>
    <w:rsid w:val="003B0DC9"/>
    <w:rsid w:val="003B3009"/>
    <w:rsid w:val="003B4081"/>
    <w:rsid w:val="003B4DF8"/>
    <w:rsid w:val="003B5E12"/>
    <w:rsid w:val="003B64D4"/>
    <w:rsid w:val="003B73B2"/>
    <w:rsid w:val="003B756B"/>
    <w:rsid w:val="003C10E0"/>
    <w:rsid w:val="003C2EB7"/>
    <w:rsid w:val="003C4965"/>
    <w:rsid w:val="003C49B0"/>
    <w:rsid w:val="003C5C61"/>
    <w:rsid w:val="003C77E2"/>
    <w:rsid w:val="003D1E9E"/>
    <w:rsid w:val="003D2A15"/>
    <w:rsid w:val="003D3BB3"/>
    <w:rsid w:val="003D4FFD"/>
    <w:rsid w:val="003D577C"/>
    <w:rsid w:val="003E48FC"/>
    <w:rsid w:val="003E5695"/>
    <w:rsid w:val="003E63EA"/>
    <w:rsid w:val="003E6D86"/>
    <w:rsid w:val="003F1195"/>
    <w:rsid w:val="003F1C9C"/>
    <w:rsid w:val="003F5450"/>
    <w:rsid w:val="003F6ECE"/>
    <w:rsid w:val="00401879"/>
    <w:rsid w:val="004026A2"/>
    <w:rsid w:val="004034E8"/>
    <w:rsid w:val="00404360"/>
    <w:rsid w:val="00404DB5"/>
    <w:rsid w:val="0040626D"/>
    <w:rsid w:val="00407995"/>
    <w:rsid w:val="0041021C"/>
    <w:rsid w:val="004129CB"/>
    <w:rsid w:val="0041516B"/>
    <w:rsid w:val="0041710B"/>
    <w:rsid w:val="00417CB8"/>
    <w:rsid w:val="00420FF2"/>
    <w:rsid w:val="004237C1"/>
    <w:rsid w:val="004303E8"/>
    <w:rsid w:val="00431F18"/>
    <w:rsid w:val="00432DF6"/>
    <w:rsid w:val="00433550"/>
    <w:rsid w:val="004349FE"/>
    <w:rsid w:val="0043608D"/>
    <w:rsid w:val="0043618C"/>
    <w:rsid w:val="00437817"/>
    <w:rsid w:val="00437C45"/>
    <w:rsid w:val="004419BB"/>
    <w:rsid w:val="00444E90"/>
    <w:rsid w:val="00445779"/>
    <w:rsid w:val="00447129"/>
    <w:rsid w:val="004471B5"/>
    <w:rsid w:val="00450A3F"/>
    <w:rsid w:val="00452186"/>
    <w:rsid w:val="0045243C"/>
    <w:rsid w:val="00452A0D"/>
    <w:rsid w:val="00453D66"/>
    <w:rsid w:val="0045480A"/>
    <w:rsid w:val="0045490C"/>
    <w:rsid w:val="00457DB8"/>
    <w:rsid w:val="00461658"/>
    <w:rsid w:val="00465CBC"/>
    <w:rsid w:val="00466223"/>
    <w:rsid w:val="004675EA"/>
    <w:rsid w:val="00470738"/>
    <w:rsid w:val="00470C95"/>
    <w:rsid w:val="0047244B"/>
    <w:rsid w:val="00472B7A"/>
    <w:rsid w:val="00475D45"/>
    <w:rsid w:val="0047666D"/>
    <w:rsid w:val="00477185"/>
    <w:rsid w:val="00481003"/>
    <w:rsid w:val="00481B13"/>
    <w:rsid w:val="004834FB"/>
    <w:rsid w:val="0048358C"/>
    <w:rsid w:val="0048508C"/>
    <w:rsid w:val="00486AC4"/>
    <w:rsid w:val="004875C2"/>
    <w:rsid w:val="0048789A"/>
    <w:rsid w:val="00487F75"/>
    <w:rsid w:val="0049024B"/>
    <w:rsid w:val="00492419"/>
    <w:rsid w:val="004925DA"/>
    <w:rsid w:val="00493721"/>
    <w:rsid w:val="0049380B"/>
    <w:rsid w:val="004956B3"/>
    <w:rsid w:val="00497E46"/>
    <w:rsid w:val="004A13E9"/>
    <w:rsid w:val="004A2400"/>
    <w:rsid w:val="004A2CCA"/>
    <w:rsid w:val="004A3627"/>
    <w:rsid w:val="004A4149"/>
    <w:rsid w:val="004A52CA"/>
    <w:rsid w:val="004A5EC0"/>
    <w:rsid w:val="004B1609"/>
    <w:rsid w:val="004B1644"/>
    <w:rsid w:val="004B1D65"/>
    <w:rsid w:val="004B3E94"/>
    <w:rsid w:val="004B6DE0"/>
    <w:rsid w:val="004B7463"/>
    <w:rsid w:val="004C0308"/>
    <w:rsid w:val="004C0A97"/>
    <w:rsid w:val="004C3E30"/>
    <w:rsid w:val="004C4731"/>
    <w:rsid w:val="004C4B0A"/>
    <w:rsid w:val="004C5E75"/>
    <w:rsid w:val="004C5E9D"/>
    <w:rsid w:val="004C730B"/>
    <w:rsid w:val="004C7527"/>
    <w:rsid w:val="004C7A54"/>
    <w:rsid w:val="004C7F7E"/>
    <w:rsid w:val="004D1DC1"/>
    <w:rsid w:val="004D2862"/>
    <w:rsid w:val="004D4A8A"/>
    <w:rsid w:val="004D67A8"/>
    <w:rsid w:val="004D6FC0"/>
    <w:rsid w:val="004E08B6"/>
    <w:rsid w:val="004E142F"/>
    <w:rsid w:val="004E2380"/>
    <w:rsid w:val="004E32D4"/>
    <w:rsid w:val="004E5900"/>
    <w:rsid w:val="004E7347"/>
    <w:rsid w:val="004E7FCA"/>
    <w:rsid w:val="004F0104"/>
    <w:rsid w:val="004F0809"/>
    <w:rsid w:val="004F15E9"/>
    <w:rsid w:val="004F1CAB"/>
    <w:rsid w:val="004F3AC8"/>
    <w:rsid w:val="004F3F47"/>
    <w:rsid w:val="004F5BD5"/>
    <w:rsid w:val="004F6563"/>
    <w:rsid w:val="004F69C1"/>
    <w:rsid w:val="00500D4B"/>
    <w:rsid w:val="005022D9"/>
    <w:rsid w:val="00503399"/>
    <w:rsid w:val="00506258"/>
    <w:rsid w:val="00506592"/>
    <w:rsid w:val="005069AA"/>
    <w:rsid w:val="00510F12"/>
    <w:rsid w:val="00513F21"/>
    <w:rsid w:val="005148BF"/>
    <w:rsid w:val="0051612C"/>
    <w:rsid w:val="0051783A"/>
    <w:rsid w:val="00520347"/>
    <w:rsid w:val="0052124C"/>
    <w:rsid w:val="005218E2"/>
    <w:rsid w:val="00521FFC"/>
    <w:rsid w:val="00524F6D"/>
    <w:rsid w:val="00525173"/>
    <w:rsid w:val="005264D8"/>
    <w:rsid w:val="00526E2E"/>
    <w:rsid w:val="0052795C"/>
    <w:rsid w:val="00527B50"/>
    <w:rsid w:val="00527F31"/>
    <w:rsid w:val="005304EA"/>
    <w:rsid w:val="00530AFB"/>
    <w:rsid w:val="00532A8D"/>
    <w:rsid w:val="00535817"/>
    <w:rsid w:val="00535B0F"/>
    <w:rsid w:val="00535B5E"/>
    <w:rsid w:val="00535E33"/>
    <w:rsid w:val="00536C4A"/>
    <w:rsid w:val="00536E8D"/>
    <w:rsid w:val="005375C0"/>
    <w:rsid w:val="00537831"/>
    <w:rsid w:val="00540506"/>
    <w:rsid w:val="00540B23"/>
    <w:rsid w:val="0054228D"/>
    <w:rsid w:val="0054359D"/>
    <w:rsid w:val="0054373A"/>
    <w:rsid w:val="005441D0"/>
    <w:rsid w:val="00544893"/>
    <w:rsid w:val="00546315"/>
    <w:rsid w:val="005466C7"/>
    <w:rsid w:val="00546D45"/>
    <w:rsid w:val="005522B1"/>
    <w:rsid w:val="0055237D"/>
    <w:rsid w:val="0055388C"/>
    <w:rsid w:val="00555ADB"/>
    <w:rsid w:val="005566F0"/>
    <w:rsid w:val="00556A07"/>
    <w:rsid w:val="00557F88"/>
    <w:rsid w:val="005603CC"/>
    <w:rsid w:val="00561659"/>
    <w:rsid w:val="00562068"/>
    <w:rsid w:val="00564C8B"/>
    <w:rsid w:val="00565D7F"/>
    <w:rsid w:val="005672CF"/>
    <w:rsid w:val="005702C7"/>
    <w:rsid w:val="005706CA"/>
    <w:rsid w:val="00570A68"/>
    <w:rsid w:val="0057119E"/>
    <w:rsid w:val="005713EC"/>
    <w:rsid w:val="00571855"/>
    <w:rsid w:val="00573F19"/>
    <w:rsid w:val="005746C1"/>
    <w:rsid w:val="00575869"/>
    <w:rsid w:val="00584D5E"/>
    <w:rsid w:val="00585B18"/>
    <w:rsid w:val="00585D0B"/>
    <w:rsid w:val="005863ED"/>
    <w:rsid w:val="00590FA5"/>
    <w:rsid w:val="00591A67"/>
    <w:rsid w:val="005927EE"/>
    <w:rsid w:val="00594851"/>
    <w:rsid w:val="00594E0B"/>
    <w:rsid w:val="005971B3"/>
    <w:rsid w:val="005A0FF4"/>
    <w:rsid w:val="005A2661"/>
    <w:rsid w:val="005A345C"/>
    <w:rsid w:val="005A39E9"/>
    <w:rsid w:val="005A3BE7"/>
    <w:rsid w:val="005A4189"/>
    <w:rsid w:val="005A46F0"/>
    <w:rsid w:val="005A6992"/>
    <w:rsid w:val="005A6E9A"/>
    <w:rsid w:val="005A7D9B"/>
    <w:rsid w:val="005B0C65"/>
    <w:rsid w:val="005B1A10"/>
    <w:rsid w:val="005B1F2C"/>
    <w:rsid w:val="005B3629"/>
    <w:rsid w:val="005B4462"/>
    <w:rsid w:val="005B5B68"/>
    <w:rsid w:val="005B6ADC"/>
    <w:rsid w:val="005B6CFC"/>
    <w:rsid w:val="005C2AC1"/>
    <w:rsid w:val="005C32C2"/>
    <w:rsid w:val="005C40FD"/>
    <w:rsid w:val="005C6E6C"/>
    <w:rsid w:val="005D12E6"/>
    <w:rsid w:val="005D1C0C"/>
    <w:rsid w:val="005D2819"/>
    <w:rsid w:val="005E0228"/>
    <w:rsid w:val="005E0519"/>
    <w:rsid w:val="005E0591"/>
    <w:rsid w:val="005E1609"/>
    <w:rsid w:val="005E21CB"/>
    <w:rsid w:val="005E2785"/>
    <w:rsid w:val="005E5DCB"/>
    <w:rsid w:val="005E6246"/>
    <w:rsid w:val="005E66FD"/>
    <w:rsid w:val="005E67EC"/>
    <w:rsid w:val="005E6878"/>
    <w:rsid w:val="005E6E02"/>
    <w:rsid w:val="005F2145"/>
    <w:rsid w:val="005F2D1A"/>
    <w:rsid w:val="005F3D62"/>
    <w:rsid w:val="005F4214"/>
    <w:rsid w:val="005F48EA"/>
    <w:rsid w:val="005F56A9"/>
    <w:rsid w:val="005F5841"/>
    <w:rsid w:val="00602F88"/>
    <w:rsid w:val="006031E3"/>
    <w:rsid w:val="006032D8"/>
    <w:rsid w:val="0060559D"/>
    <w:rsid w:val="00605FA8"/>
    <w:rsid w:val="00606B7D"/>
    <w:rsid w:val="00607D70"/>
    <w:rsid w:val="0061400E"/>
    <w:rsid w:val="00614F3E"/>
    <w:rsid w:val="00616FCB"/>
    <w:rsid w:val="00617AA6"/>
    <w:rsid w:val="00620121"/>
    <w:rsid w:val="00620E87"/>
    <w:rsid w:val="00620F06"/>
    <w:rsid w:val="0062194F"/>
    <w:rsid w:val="00621B46"/>
    <w:rsid w:val="00624911"/>
    <w:rsid w:val="00625926"/>
    <w:rsid w:val="00625C71"/>
    <w:rsid w:val="00625FC1"/>
    <w:rsid w:val="00626E99"/>
    <w:rsid w:val="0063038B"/>
    <w:rsid w:val="00631444"/>
    <w:rsid w:val="00632D38"/>
    <w:rsid w:val="0063328D"/>
    <w:rsid w:val="0063348E"/>
    <w:rsid w:val="006352A5"/>
    <w:rsid w:val="00636792"/>
    <w:rsid w:val="00640B2E"/>
    <w:rsid w:val="00642617"/>
    <w:rsid w:val="00642F0C"/>
    <w:rsid w:val="00644CC6"/>
    <w:rsid w:val="00647D7C"/>
    <w:rsid w:val="006504AE"/>
    <w:rsid w:val="0065190F"/>
    <w:rsid w:val="00651E42"/>
    <w:rsid w:val="00654FDD"/>
    <w:rsid w:val="0065707B"/>
    <w:rsid w:val="00657668"/>
    <w:rsid w:val="00657777"/>
    <w:rsid w:val="00657933"/>
    <w:rsid w:val="00657C4A"/>
    <w:rsid w:val="00663321"/>
    <w:rsid w:val="006652E5"/>
    <w:rsid w:val="00666754"/>
    <w:rsid w:val="00666EE5"/>
    <w:rsid w:val="0067216C"/>
    <w:rsid w:val="00675651"/>
    <w:rsid w:val="006803AF"/>
    <w:rsid w:val="00680EB2"/>
    <w:rsid w:val="0068454B"/>
    <w:rsid w:val="00685888"/>
    <w:rsid w:val="00686367"/>
    <w:rsid w:val="00687887"/>
    <w:rsid w:val="0069277F"/>
    <w:rsid w:val="00694178"/>
    <w:rsid w:val="0069576B"/>
    <w:rsid w:val="0069600B"/>
    <w:rsid w:val="00696CFB"/>
    <w:rsid w:val="006972CC"/>
    <w:rsid w:val="00697BBA"/>
    <w:rsid w:val="006A0476"/>
    <w:rsid w:val="006A0860"/>
    <w:rsid w:val="006A0C16"/>
    <w:rsid w:val="006A0EFD"/>
    <w:rsid w:val="006A2E97"/>
    <w:rsid w:val="006A376D"/>
    <w:rsid w:val="006A3C90"/>
    <w:rsid w:val="006A414B"/>
    <w:rsid w:val="006A5F32"/>
    <w:rsid w:val="006A7187"/>
    <w:rsid w:val="006B318D"/>
    <w:rsid w:val="006B3B21"/>
    <w:rsid w:val="006B3DAC"/>
    <w:rsid w:val="006B6873"/>
    <w:rsid w:val="006C10FB"/>
    <w:rsid w:val="006C2070"/>
    <w:rsid w:val="006C21E4"/>
    <w:rsid w:val="006C3E33"/>
    <w:rsid w:val="006C4FAB"/>
    <w:rsid w:val="006C636C"/>
    <w:rsid w:val="006C6626"/>
    <w:rsid w:val="006C66EF"/>
    <w:rsid w:val="006C7097"/>
    <w:rsid w:val="006D73C3"/>
    <w:rsid w:val="006D74E4"/>
    <w:rsid w:val="006E4E5E"/>
    <w:rsid w:val="006E509B"/>
    <w:rsid w:val="006E557A"/>
    <w:rsid w:val="006E63F1"/>
    <w:rsid w:val="006E6DC5"/>
    <w:rsid w:val="006F1471"/>
    <w:rsid w:val="006F2E65"/>
    <w:rsid w:val="006F2EFB"/>
    <w:rsid w:val="006F2FFD"/>
    <w:rsid w:val="006F3856"/>
    <w:rsid w:val="006F40EE"/>
    <w:rsid w:val="006F5A61"/>
    <w:rsid w:val="006F6E6F"/>
    <w:rsid w:val="00700746"/>
    <w:rsid w:val="00702870"/>
    <w:rsid w:val="007103DE"/>
    <w:rsid w:val="00712652"/>
    <w:rsid w:val="00712E86"/>
    <w:rsid w:val="00713086"/>
    <w:rsid w:val="0071317E"/>
    <w:rsid w:val="0071364D"/>
    <w:rsid w:val="00714647"/>
    <w:rsid w:val="0072021C"/>
    <w:rsid w:val="00721C87"/>
    <w:rsid w:val="007243B1"/>
    <w:rsid w:val="0072492D"/>
    <w:rsid w:val="0072595D"/>
    <w:rsid w:val="0072604E"/>
    <w:rsid w:val="00726875"/>
    <w:rsid w:val="0072708F"/>
    <w:rsid w:val="00731B66"/>
    <w:rsid w:val="00734876"/>
    <w:rsid w:val="00734E1A"/>
    <w:rsid w:val="007353BA"/>
    <w:rsid w:val="007371CE"/>
    <w:rsid w:val="00742A5C"/>
    <w:rsid w:val="007433C4"/>
    <w:rsid w:val="0074439A"/>
    <w:rsid w:val="00746956"/>
    <w:rsid w:val="00746983"/>
    <w:rsid w:val="0074740B"/>
    <w:rsid w:val="007503D3"/>
    <w:rsid w:val="00750E4B"/>
    <w:rsid w:val="00752E3F"/>
    <w:rsid w:val="00754966"/>
    <w:rsid w:val="00756BFF"/>
    <w:rsid w:val="00761771"/>
    <w:rsid w:val="00770500"/>
    <w:rsid w:val="00775B15"/>
    <w:rsid w:val="00775CDD"/>
    <w:rsid w:val="0077602A"/>
    <w:rsid w:val="0077764E"/>
    <w:rsid w:val="00777B30"/>
    <w:rsid w:val="00781AFF"/>
    <w:rsid w:val="00783CBE"/>
    <w:rsid w:val="0078582D"/>
    <w:rsid w:val="00785E40"/>
    <w:rsid w:val="007915C2"/>
    <w:rsid w:val="00791F4F"/>
    <w:rsid w:val="00792162"/>
    <w:rsid w:val="00793D2B"/>
    <w:rsid w:val="00794986"/>
    <w:rsid w:val="00794D17"/>
    <w:rsid w:val="007954CE"/>
    <w:rsid w:val="0079735E"/>
    <w:rsid w:val="007A00F5"/>
    <w:rsid w:val="007A04A3"/>
    <w:rsid w:val="007A0F33"/>
    <w:rsid w:val="007A305B"/>
    <w:rsid w:val="007A35B4"/>
    <w:rsid w:val="007A6DCC"/>
    <w:rsid w:val="007A6F94"/>
    <w:rsid w:val="007A6FB7"/>
    <w:rsid w:val="007B3D82"/>
    <w:rsid w:val="007B4128"/>
    <w:rsid w:val="007B43F8"/>
    <w:rsid w:val="007B50FE"/>
    <w:rsid w:val="007B55FD"/>
    <w:rsid w:val="007C14D5"/>
    <w:rsid w:val="007C42C7"/>
    <w:rsid w:val="007C5DE7"/>
    <w:rsid w:val="007C65AE"/>
    <w:rsid w:val="007C6AD4"/>
    <w:rsid w:val="007C75BE"/>
    <w:rsid w:val="007D0DEB"/>
    <w:rsid w:val="007D1037"/>
    <w:rsid w:val="007D265D"/>
    <w:rsid w:val="007D54D9"/>
    <w:rsid w:val="007D5D3F"/>
    <w:rsid w:val="007D6D3E"/>
    <w:rsid w:val="007D7975"/>
    <w:rsid w:val="007E0FEF"/>
    <w:rsid w:val="007E1646"/>
    <w:rsid w:val="007E35C3"/>
    <w:rsid w:val="007E50FD"/>
    <w:rsid w:val="007E60A5"/>
    <w:rsid w:val="007E6AE2"/>
    <w:rsid w:val="007E7A84"/>
    <w:rsid w:val="007F059F"/>
    <w:rsid w:val="007F08EE"/>
    <w:rsid w:val="007F1439"/>
    <w:rsid w:val="007F2777"/>
    <w:rsid w:val="007F4514"/>
    <w:rsid w:val="007F56E8"/>
    <w:rsid w:val="00805749"/>
    <w:rsid w:val="00806528"/>
    <w:rsid w:val="0080665B"/>
    <w:rsid w:val="00806990"/>
    <w:rsid w:val="008076D1"/>
    <w:rsid w:val="008131B0"/>
    <w:rsid w:val="0081332D"/>
    <w:rsid w:val="00813F65"/>
    <w:rsid w:val="008152CC"/>
    <w:rsid w:val="0081551C"/>
    <w:rsid w:val="008156DD"/>
    <w:rsid w:val="00815A93"/>
    <w:rsid w:val="00816B35"/>
    <w:rsid w:val="008177E8"/>
    <w:rsid w:val="00820250"/>
    <w:rsid w:val="00820815"/>
    <w:rsid w:val="00824B87"/>
    <w:rsid w:val="008263C3"/>
    <w:rsid w:val="0083018C"/>
    <w:rsid w:val="00830DD2"/>
    <w:rsid w:val="0083168C"/>
    <w:rsid w:val="008320D1"/>
    <w:rsid w:val="00833008"/>
    <w:rsid w:val="00833264"/>
    <w:rsid w:val="00833437"/>
    <w:rsid w:val="008364F3"/>
    <w:rsid w:val="00836819"/>
    <w:rsid w:val="0083737D"/>
    <w:rsid w:val="0084085D"/>
    <w:rsid w:val="00841AD4"/>
    <w:rsid w:val="00842B3C"/>
    <w:rsid w:val="00842EBB"/>
    <w:rsid w:val="0084442E"/>
    <w:rsid w:val="008445B0"/>
    <w:rsid w:val="00845F4F"/>
    <w:rsid w:val="00845FD9"/>
    <w:rsid w:val="0084687A"/>
    <w:rsid w:val="00846E29"/>
    <w:rsid w:val="00851218"/>
    <w:rsid w:val="00851FD9"/>
    <w:rsid w:val="00853814"/>
    <w:rsid w:val="00853819"/>
    <w:rsid w:val="00854FFA"/>
    <w:rsid w:val="00857899"/>
    <w:rsid w:val="00862873"/>
    <w:rsid w:val="0086342D"/>
    <w:rsid w:val="00863594"/>
    <w:rsid w:val="0086414E"/>
    <w:rsid w:val="00864A6F"/>
    <w:rsid w:val="00867168"/>
    <w:rsid w:val="0087090C"/>
    <w:rsid w:val="00870F49"/>
    <w:rsid w:val="00871AD2"/>
    <w:rsid w:val="008720F9"/>
    <w:rsid w:val="008721AB"/>
    <w:rsid w:val="0087254C"/>
    <w:rsid w:val="0087309B"/>
    <w:rsid w:val="008742F7"/>
    <w:rsid w:val="00881356"/>
    <w:rsid w:val="0088245E"/>
    <w:rsid w:val="008842B3"/>
    <w:rsid w:val="00885EEC"/>
    <w:rsid w:val="0088604C"/>
    <w:rsid w:val="008867FE"/>
    <w:rsid w:val="00886F82"/>
    <w:rsid w:val="00890742"/>
    <w:rsid w:val="0089259F"/>
    <w:rsid w:val="00892FE9"/>
    <w:rsid w:val="0089307B"/>
    <w:rsid w:val="008934BE"/>
    <w:rsid w:val="00893BCE"/>
    <w:rsid w:val="00894490"/>
    <w:rsid w:val="008953FF"/>
    <w:rsid w:val="00896015"/>
    <w:rsid w:val="00896A55"/>
    <w:rsid w:val="008A10B6"/>
    <w:rsid w:val="008A434A"/>
    <w:rsid w:val="008A4C62"/>
    <w:rsid w:val="008A59A0"/>
    <w:rsid w:val="008A6573"/>
    <w:rsid w:val="008A66BA"/>
    <w:rsid w:val="008B0486"/>
    <w:rsid w:val="008B056C"/>
    <w:rsid w:val="008B0DF9"/>
    <w:rsid w:val="008B0F25"/>
    <w:rsid w:val="008B1EB6"/>
    <w:rsid w:val="008B1F0A"/>
    <w:rsid w:val="008B213F"/>
    <w:rsid w:val="008B2854"/>
    <w:rsid w:val="008B313F"/>
    <w:rsid w:val="008B3D63"/>
    <w:rsid w:val="008B4CAA"/>
    <w:rsid w:val="008B4DDF"/>
    <w:rsid w:val="008B6655"/>
    <w:rsid w:val="008B668B"/>
    <w:rsid w:val="008C08AD"/>
    <w:rsid w:val="008C227C"/>
    <w:rsid w:val="008C6A4C"/>
    <w:rsid w:val="008C7365"/>
    <w:rsid w:val="008D09B3"/>
    <w:rsid w:val="008D127C"/>
    <w:rsid w:val="008D1397"/>
    <w:rsid w:val="008D159E"/>
    <w:rsid w:val="008D181A"/>
    <w:rsid w:val="008D2864"/>
    <w:rsid w:val="008D3ECD"/>
    <w:rsid w:val="008D5DE6"/>
    <w:rsid w:val="008E184D"/>
    <w:rsid w:val="008E56CA"/>
    <w:rsid w:val="008E6B9A"/>
    <w:rsid w:val="008F0F67"/>
    <w:rsid w:val="008F17A5"/>
    <w:rsid w:val="008F2552"/>
    <w:rsid w:val="008F3D58"/>
    <w:rsid w:val="008F6415"/>
    <w:rsid w:val="009021A2"/>
    <w:rsid w:val="00902D8D"/>
    <w:rsid w:val="00902F48"/>
    <w:rsid w:val="00905909"/>
    <w:rsid w:val="00906617"/>
    <w:rsid w:val="00906D8A"/>
    <w:rsid w:val="0091221A"/>
    <w:rsid w:val="00922909"/>
    <w:rsid w:val="00924DC7"/>
    <w:rsid w:val="00924EDD"/>
    <w:rsid w:val="0092625B"/>
    <w:rsid w:val="00931FD5"/>
    <w:rsid w:val="0093260D"/>
    <w:rsid w:val="009331BF"/>
    <w:rsid w:val="0093684D"/>
    <w:rsid w:val="00936FC9"/>
    <w:rsid w:val="00937AEE"/>
    <w:rsid w:val="009413BE"/>
    <w:rsid w:val="00943109"/>
    <w:rsid w:val="00944515"/>
    <w:rsid w:val="00945DB0"/>
    <w:rsid w:val="0094678D"/>
    <w:rsid w:val="0094683A"/>
    <w:rsid w:val="00946E2C"/>
    <w:rsid w:val="00947CD5"/>
    <w:rsid w:val="00950551"/>
    <w:rsid w:val="0095239C"/>
    <w:rsid w:val="0095362C"/>
    <w:rsid w:val="00953E52"/>
    <w:rsid w:val="00955539"/>
    <w:rsid w:val="00955691"/>
    <w:rsid w:val="00955B5A"/>
    <w:rsid w:val="00957FC3"/>
    <w:rsid w:val="009604AF"/>
    <w:rsid w:val="009604EB"/>
    <w:rsid w:val="009608D7"/>
    <w:rsid w:val="009611A7"/>
    <w:rsid w:val="009611AD"/>
    <w:rsid w:val="00962F6B"/>
    <w:rsid w:val="00963BE6"/>
    <w:rsid w:val="009655AE"/>
    <w:rsid w:val="00965B2E"/>
    <w:rsid w:val="00966509"/>
    <w:rsid w:val="0097142C"/>
    <w:rsid w:val="00971889"/>
    <w:rsid w:val="00971A11"/>
    <w:rsid w:val="009744EE"/>
    <w:rsid w:val="0097553F"/>
    <w:rsid w:val="0097585D"/>
    <w:rsid w:val="0097660C"/>
    <w:rsid w:val="009766B4"/>
    <w:rsid w:val="009766FD"/>
    <w:rsid w:val="00977E11"/>
    <w:rsid w:val="00981816"/>
    <w:rsid w:val="00981C99"/>
    <w:rsid w:val="00982402"/>
    <w:rsid w:val="00984D8D"/>
    <w:rsid w:val="00987020"/>
    <w:rsid w:val="009912D4"/>
    <w:rsid w:val="009920B9"/>
    <w:rsid w:val="00993EF4"/>
    <w:rsid w:val="0099476D"/>
    <w:rsid w:val="00996A2E"/>
    <w:rsid w:val="00997B8B"/>
    <w:rsid w:val="00997BE6"/>
    <w:rsid w:val="00997FC5"/>
    <w:rsid w:val="009A0122"/>
    <w:rsid w:val="009A2192"/>
    <w:rsid w:val="009A427E"/>
    <w:rsid w:val="009A6497"/>
    <w:rsid w:val="009A7901"/>
    <w:rsid w:val="009B0AE2"/>
    <w:rsid w:val="009B3465"/>
    <w:rsid w:val="009B3D69"/>
    <w:rsid w:val="009B5B07"/>
    <w:rsid w:val="009B5D01"/>
    <w:rsid w:val="009B6E2D"/>
    <w:rsid w:val="009C0CBE"/>
    <w:rsid w:val="009C1C2D"/>
    <w:rsid w:val="009C2950"/>
    <w:rsid w:val="009C32F0"/>
    <w:rsid w:val="009C32F8"/>
    <w:rsid w:val="009C36EB"/>
    <w:rsid w:val="009C37E7"/>
    <w:rsid w:val="009C3F7F"/>
    <w:rsid w:val="009C4A1E"/>
    <w:rsid w:val="009D111A"/>
    <w:rsid w:val="009D302E"/>
    <w:rsid w:val="009D4769"/>
    <w:rsid w:val="009D58F5"/>
    <w:rsid w:val="009E0767"/>
    <w:rsid w:val="009E10AC"/>
    <w:rsid w:val="009E2DA6"/>
    <w:rsid w:val="009E3754"/>
    <w:rsid w:val="009E3FF4"/>
    <w:rsid w:val="009E4BFA"/>
    <w:rsid w:val="009E55CA"/>
    <w:rsid w:val="009E715C"/>
    <w:rsid w:val="009E76D6"/>
    <w:rsid w:val="009F1DA2"/>
    <w:rsid w:val="009F30EF"/>
    <w:rsid w:val="00A04737"/>
    <w:rsid w:val="00A0555B"/>
    <w:rsid w:val="00A0694B"/>
    <w:rsid w:val="00A13A3E"/>
    <w:rsid w:val="00A15422"/>
    <w:rsid w:val="00A1628B"/>
    <w:rsid w:val="00A16708"/>
    <w:rsid w:val="00A1722E"/>
    <w:rsid w:val="00A17AAE"/>
    <w:rsid w:val="00A20222"/>
    <w:rsid w:val="00A247B5"/>
    <w:rsid w:val="00A2518E"/>
    <w:rsid w:val="00A25C02"/>
    <w:rsid w:val="00A275B8"/>
    <w:rsid w:val="00A30A27"/>
    <w:rsid w:val="00A30DF4"/>
    <w:rsid w:val="00A31112"/>
    <w:rsid w:val="00A33929"/>
    <w:rsid w:val="00A3437D"/>
    <w:rsid w:val="00A34519"/>
    <w:rsid w:val="00A36759"/>
    <w:rsid w:val="00A417A7"/>
    <w:rsid w:val="00A419EA"/>
    <w:rsid w:val="00A42C48"/>
    <w:rsid w:val="00A440A6"/>
    <w:rsid w:val="00A45994"/>
    <w:rsid w:val="00A45E98"/>
    <w:rsid w:val="00A46148"/>
    <w:rsid w:val="00A46F5A"/>
    <w:rsid w:val="00A47033"/>
    <w:rsid w:val="00A47A83"/>
    <w:rsid w:val="00A50781"/>
    <w:rsid w:val="00A5092B"/>
    <w:rsid w:val="00A53AC3"/>
    <w:rsid w:val="00A556C3"/>
    <w:rsid w:val="00A55F67"/>
    <w:rsid w:val="00A60025"/>
    <w:rsid w:val="00A605C4"/>
    <w:rsid w:val="00A621F8"/>
    <w:rsid w:val="00A632E1"/>
    <w:rsid w:val="00A63F32"/>
    <w:rsid w:val="00A65D9F"/>
    <w:rsid w:val="00A67237"/>
    <w:rsid w:val="00A7031B"/>
    <w:rsid w:val="00A70E58"/>
    <w:rsid w:val="00A71ABF"/>
    <w:rsid w:val="00A73800"/>
    <w:rsid w:val="00A73DCD"/>
    <w:rsid w:val="00A7636D"/>
    <w:rsid w:val="00A76B0C"/>
    <w:rsid w:val="00A76FD3"/>
    <w:rsid w:val="00A85D6F"/>
    <w:rsid w:val="00A86A29"/>
    <w:rsid w:val="00A909F2"/>
    <w:rsid w:val="00A91207"/>
    <w:rsid w:val="00A92109"/>
    <w:rsid w:val="00A92AB0"/>
    <w:rsid w:val="00A92EC3"/>
    <w:rsid w:val="00A92F31"/>
    <w:rsid w:val="00A95574"/>
    <w:rsid w:val="00A96E51"/>
    <w:rsid w:val="00A9715D"/>
    <w:rsid w:val="00A974C6"/>
    <w:rsid w:val="00AA0AEC"/>
    <w:rsid w:val="00AA4211"/>
    <w:rsid w:val="00AA7268"/>
    <w:rsid w:val="00AB119D"/>
    <w:rsid w:val="00AB1DC8"/>
    <w:rsid w:val="00AB2EA8"/>
    <w:rsid w:val="00AC0B1C"/>
    <w:rsid w:val="00AC350C"/>
    <w:rsid w:val="00AC3728"/>
    <w:rsid w:val="00AC441C"/>
    <w:rsid w:val="00AC4825"/>
    <w:rsid w:val="00AC652E"/>
    <w:rsid w:val="00AD04D1"/>
    <w:rsid w:val="00AD163B"/>
    <w:rsid w:val="00AD3390"/>
    <w:rsid w:val="00AD387A"/>
    <w:rsid w:val="00AE0379"/>
    <w:rsid w:val="00AE0459"/>
    <w:rsid w:val="00AE2113"/>
    <w:rsid w:val="00AE2567"/>
    <w:rsid w:val="00AE4364"/>
    <w:rsid w:val="00AE5157"/>
    <w:rsid w:val="00AE7785"/>
    <w:rsid w:val="00AF0959"/>
    <w:rsid w:val="00AF0D55"/>
    <w:rsid w:val="00AF1D82"/>
    <w:rsid w:val="00AF297D"/>
    <w:rsid w:val="00AF395B"/>
    <w:rsid w:val="00AF4A45"/>
    <w:rsid w:val="00AF51B9"/>
    <w:rsid w:val="00AF5A65"/>
    <w:rsid w:val="00AF72A4"/>
    <w:rsid w:val="00B01E6B"/>
    <w:rsid w:val="00B03FE8"/>
    <w:rsid w:val="00B04760"/>
    <w:rsid w:val="00B04D11"/>
    <w:rsid w:val="00B06359"/>
    <w:rsid w:val="00B064F3"/>
    <w:rsid w:val="00B0798D"/>
    <w:rsid w:val="00B1021B"/>
    <w:rsid w:val="00B11E93"/>
    <w:rsid w:val="00B17F5B"/>
    <w:rsid w:val="00B21832"/>
    <w:rsid w:val="00B22C83"/>
    <w:rsid w:val="00B22DDC"/>
    <w:rsid w:val="00B24E24"/>
    <w:rsid w:val="00B2799C"/>
    <w:rsid w:val="00B30AB5"/>
    <w:rsid w:val="00B31D33"/>
    <w:rsid w:val="00B3217A"/>
    <w:rsid w:val="00B331E3"/>
    <w:rsid w:val="00B3444B"/>
    <w:rsid w:val="00B34EA2"/>
    <w:rsid w:val="00B35BEF"/>
    <w:rsid w:val="00B36D0F"/>
    <w:rsid w:val="00B36D3B"/>
    <w:rsid w:val="00B377A0"/>
    <w:rsid w:val="00B4033F"/>
    <w:rsid w:val="00B40669"/>
    <w:rsid w:val="00B40B47"/>
    <w:rsid w:val="00B41668"/>
    <w:rsid w:val="00B42F36"/>
    <w:rsid w:val="00B4422E"/>
    <w:rsid w:val="00B453F3"/>
    <w:rsid w:val="00B45DF9"/>
    <w:rsid w:val="00B45F72"/>
    <w:rsid w:val="00B46D35"/>
    <w:rsid w:val="00B500F7"/>
    <w:rsid w:val="00B50721"/>
    <w:rsid w:val="00B50D80"/>
    <w:rsid w:val="00B518BD"/>
    <w:rsid w:val="00B51934"/>
    <w:rsid w:val="00B52D83"/>
    <w:rsid w:val="00B53803"/>
    <w:rsid w:val="00B573C7"/>
    <w:rsid w:val="00B57546"/>
    <w:rsid w:val="00B60E4B"/>
    <w:rsid w:val="00B60F98"/>
    <w:rsid w:val="00B64F45"/>
    <w:rsid w:val="00B657F4"/>
    <w:rsid w:val="00B65D19"/>
    <w:rsid w:val="00B67113"/>
    <w:rsid w:val="00B72CC9"/>
    <w:rsid w:val="00B741D4"/>
    <w:rsid w:val="00B751F7"/>
    <w:rsid w:val="00B76B0E"/>
    <w:rsid w:val="00B76F7B"/>
    <w:rsid w:val="00B7762E"/>
    <w:rsid w:val="00B840B4"/>
    <w:rsid w:val="00B847C7"/>
    <w:rsid w:val="00B86B2B"/>
    <w:rsid w:val="00B9049A"/>
    <w:rsid w:val="00B91373"/>
    <w:rsid w:val="00B91503"/>
    <w:rsid w:val="00B93BD7"/>
    <w:rsid w:val="00B97487"/>
    <w:rsid w:val="00BA1C0E"/>
    <w:rsid w:val="00BA55CC"/>
    <w:rsid w:val="00BA604D"/>
    <w:rsid w:val="00BA6A3E"/>
    <w:rsid w:val="00BB3103"/>
    <w:rsid w:val="00BB4676"/>
    <w:rsid w:val="00BB4FAD"/>
    <w:rsid w:val="00BB56D6"/>
    <w:rsid w:val="00BB5CEB"/>
    <w:rsid w:val="00BC53C7"/>
    <w:rsid w:val="00BC712F"/>
    <w:rsid w:val="00BD01F4"/>
    <w:rsid w:val="00BD03CA"/>
    <w:rsid w:val="00BD0B1B"/>
    <w:rsid w:val="00BD3287"/>
    <w:rsid w:val="00BD76F8"/>
    <w:rsid w:val="00BE0003"/>
    <w:rsid w:val="00BE1DC7"/>
    <w:rsid w:val="00BE2176"/>
    <w:rsid w:val="00BE3511"/>
    <w:rsid w:val="00BE3624"/>
    <w:rsid w:val="00BE54B7"/>
    <w:rsid w:val="00BE5B14"/>
    <w:rsid w:val="00BE5FEB"/>
    <w:rsid w:val="00BE7859"/>
    <w:rsid w:val="00BE7BBC"/>
    <w:rsid w:val="00BF09CB"/>
    <w:rsid w:val="00BF17D0"/>
    <w:rsid w:val="00BF2A2E"/>
    <w:rsid w:val="00BF30FC"/>
    <w:rsid w:val="00BF3263"/>
    <w:rsid w:val="00BF343A"/>
    <w:rsid w:val="00BF3A2F"/>
    <w:rsid w:val="00BF4B6E"/>
    <w:rsid w:val="00BF4BFE"/>
    <w:rsid w:val="00BF54FE"/>
    <w:rsid w:val="00C0058A"/>
    <w:rsid w:val="00C00919"/>
    <w:rsid w:val="00C00CAA"/>
    <w:rsid w:val="00C01282"/>
    <w:rsid w:val="00C0293F"/>
    <w:rsid w:val="00C029D7"/>
    <w:rsid w:val="00C0361E"/>
    <w:rsid w:val="00C03BEA"/>
    <w:rsid w:val="00C05235"/>
    <w:rsid w:val="00C05651"/>
    <w:rsid w:val="00C068DC"/>
    <w:rsid w:val="00C06ED0"/>
    <w:rsid w:val="00C10431"/>
    <w:rsid w:val="00C11B52"/>
    <w:rsid w:val="00C15C4C"/>
    <w:rsid w:val="00C16253"/>
    <w:rsid w:val="00C16444"/>
    <w:rsid w:val="00C20C4E"/>
    <w:rsid w:val="00C23C52"/>
    <w:rsid w:val="00C24E1F"/>
    <w:rsid w:val="00C2655E"/>
    <w:rsid w:val="00C26ECE"/>
    <w:rsid w:val="00C274E8"/>
    <w:rsid w:val="00C2757E"/>
    <w:rsid w:val="00C2782E"/>
    <w:rsid w:val="00C27842"/>
    <w:rsid w:val="00C3320F"/>
    <w:rsid w:val="00C36570"/>
    <w:rsid w:val="00C36D3D"/>
    <w:rsid w:val="00C36E07"/>
    <w:rsid w:val="00C3746B"/>
    <w:rsid w:val="00C375CD"/>
    <w:rsid w:val="00C376C0"/>
    <w:rsid w:val="00C3798F"/>
    <w:rsid w:val="00C42F0D"/>
    <w:rsid w:val="00C447ED"/>
    <w:rsid w:val="00C44A45"/>
    <w:rsid w:val="00C44AB3"/>
    <w:rsid w:val="00C454A5"/>
    <w:rsid w:val="00C466D1"/>
    <w:rsid w:val="00C46B1F"/>
    <w:rsid w:val="00C4704C"/>
    <w:rsid w:val="00C4747C"/>
    <w:rsid w:val="00C4769B"/>
    <w:rsid w:val="00C50735"/>
    <w:rsid w:val="00C508D4"/>
    <w:rsid w:val="00C518B0"/>
    <w:rsid w:val="00C534AD"/>
    <w:rsid w:val="00C564A2"/>
    <w:rsid w:val="00C56B27"/>
    <w:rsid w:val="00C57F9D"/>
    <w:rsid w:val="00C60A3A"/>
    <w:rsid w:val="00C6154C"/>
    <w:rsid w:val="00C641EB"/>
    <w:rsid w:val="00C64580"/>
    <w:rsid w:val="00C661A5"/>
    <w:rsid w:val="00C67E47"/>
    <w:rsid w:val="00C7345D"/>
    <w:rsid w:val="00C73C65"/>
    <w:rsid w:val="00C748CD"/>
    <w:rsid w:val="00C76C8E"/>
    <w:rsid w:val="00C76E13"/>
    <w:rsid w:val="00C773A0"/>
    <w:rsid w:val="00C773B0"/>
    <w:rsid w:val="00C81504"/>
    <w:rsid w:val="00C82251"/>
    <w:rsid w:val="00C8553C"/>
    <w:rsid w:val="00C85634"/>
    <w:rsid w:val="00C85E24"/>
    <w:rsid w:val="00C86046"/>
    <w:rsid w:val="00C86733"/>
    <w:rsid w:val="00C868FF"/>
    <w:rsid w:val="00C86FD8"/>
    <w:rsid w:val="00C9060D"/>
    <w:rsid w:val="00C90C1B"/>
    <w:rsid w:val="00C91B00"/>
    <w:rsid w:val="00C924F6"/>
    <w:rsid w:val="00C95ED5"/>
    <w:rsid w:val="00C95FE2"/>
    <w:rsid w:val="00C967E8"/>
    <w:rsid w:val="00C96853"/>
    <w:rsid w:val="00C96C19"/>
    <w:rsid w:val="00C96E88"/>
    <w:rsid w:val="00C97671"/>
    <w:rsid w:val="00CA1890"/>
    <w:rsid w:val="00CA4707"/>
    <w:rsid w:val="00CA7452"/>
    <w:rsid w:val="00CB0C76"/>
    <w:rsid w:val="00CB18BC"/>
    <w:rsid w:val="00CB3AEF"/>
    <w:rsid w:val="00CB3B47"/>
    <w:rsid w:val="00CB6E16"/>
    <w:rsid w:val="00CB6EFA"/>
    <w:rsid w:val="00CC0575"/>
    <w:rsid w:val="00CC0B6F"/>
    <w:rsid w:val="00CC2268"/>
    <w:rsid w:val="00CC238E"/>
    <w:rsid w:val="00CC4487"/>
    <w:rsid w:val="00CC55EF"/>
    <w:rsid w:val="00CC695A"/>
    <w:rsid w:val="00CD2CAC"/>
    <w:rsid w:val="00CD3D90"/>
    <w:rsid w:val="00CD56F5"/>
    <w:rsid w:val="00CD609F"/>
    <w:rsid w:val="00CD79C6"/>
    <w:rsid w:val="00CE0739"/>
    <w:rsid w:val="00CE34FE"/>
    <w:rsid w:val="00CE4FD0"/>
    <w:rsid w:val="00CE54E7"/>
    <w:rsid w:val="00CE75F5"/>
    <w:rsid w:val="00CF0831"/>
    <w:rsid w:val="00CF0BD1"/>
    <w:rsid w:val="00CF0EBF"/>
    <w:rsid w:val="00CF1E8D"/>
    <w:rsid w:val="00CF34B9"/>
    <w:rsid w:val="00CF39E2"/>
    <w:rsid w:val="00CF4401"/>
    <w:rsid w:val="00CF4883"/>
    <w:rsid w:val="00CF5BEE"/>
    <w:rsid w:val="00CF6181"/>
    <w:rsid w:val="00CF6749"/>
    <w:rsid w:val="00CF780D"/>
    <w:rsid w:val="00D01E13"/>
    <w:rsid w:val="00D01ECB"/>
    <w:rsid w:val="00D05CFF"/>
    <w:rsid w:val="00D0613E"/>
    <w:rsid w:val="00D115AD"/>
    <w:rsid w:val="00D12368"/>
    <w:rsid w:val="00D139EC"/>
    <w:rsid w:val="00D154A2"/>
    <w:rsid w:val="00D15A1F"/>
    <w:rsid w:val="00D1643F"/>
    <w:rsid w:val="00D230BA"/>
    <w:rsid w:val="00D23E9B"/>
    <w:rsid w:val="00D241D3"/>
    <w:rsid w:val="00D24A8C"/>
    <w:rsid w:val="00D2536D"/>
    <w:rsid w:val="00D25B10"/>
    <w:rsid w:val="00D310FA"/>
    <w:rsid w:val="00D3316B"/>
    <w:rsid w:val="00D357A4"/>
    <w:rsid w:val="00D358E9"/>
    <w:rsid w:val="00D35F7A"/>
    <w:rsid w:val="00D36F61"/>
    <w:rsid w:val="00D379D8"/>
    <w:rsid w:val="00D45282"/>
    <w:rsid w:val="00D45D9C"/>
    <w:rsid w:val="00D46D7A"/>
    <w:rsid w:val="00D47AD3"/>
    <w:rsid w:val="00D52BC2"/>
    <w:rsid w:val="00D56D26"/>
    <w:rsid w:val="00D60498"/>
    <w:rsid w:val="00D604D3"/>
    <w:rsid w:val="00D607A7"/>
    <w:rsid w:val="00D60987"/>
    <w:rsid w:val="00D62415"/>
    <w:rsid w:val="00D62FF3"/>
    <w:rsid w:val="00D6307E"/>
    <w:rsid w:val="00D66253"/>
    <w:rsid w:val="00D710F6"/>
    <w:rsid w:val="00D71553"/>
    <w:rsid w:val="00D74302"/>
    <w:rsid w:val="00D840EF"/>
    <w:rsid w:val="00D875B4"/>
    <w:rsid w:val="00D87D6A"/>
    <w:rsid w:val="00D91983"/>
    <w:rsid w:val="00D91E7F"/>
    <w:rsid w:val="00D92F9E"/>
    <w:rsid w:val="00D933DA"/>
    <w:rsid w:val="00D9380D"/>
    <w:rsid w:val="00D94326"/>
    <w:rsid w:val="00D955A8"/>
    <w:rsid w:val="00D9640A"/>
    <w:rsid w:val="00DA083C"/>
    <w:rsid w:val="00DA1825"/>
    <w:rsid w:val="00DA3E7F"/>
    <w:rsid w:val="00DA6AFF"/>
    <w:rsid w:val="00DB0F15"/>
    <w:rsid w:val="00DB2242"/>
    <w:rsid w:val="00DB382D"/>
    <w:rsid w:val="00DB5030"/>
    <w:rsid w:val="00DB5281"/>
    <w:rsid w:val="00DC0D30"/>
    <w:rsid w:val="00DC1873"/>
    <w:rsid w:val="00DC1D9B"/>
    <w:rsid w:val="00DC3748"/>
    <w:rsid w:val="00DC4146"/>
    <w:rsid w:val="00DC54D1"/>
    <w:rsid w:val="00DC5F84"/>
    <w:rsid w:val="00DC6FED"/>
    <w:rsid w:val="00DD15F7"/>
    <w:rsid w:val="00DD5EC3"/>
    <w:rsid w:val="00DE3ADC"/>
    <w:rsid w:val="00DE6959"/>
    <w:rsid w:val="00DF0ED6"/>
    <w:rsid w:val="00DF1092"/>
    <w:rsid w:val="00DF1AAC"/>
    <w:rsid w:val="00DF2192"/>
    <w:rsid w:val="00DF2675"/>
    <w:rsid w:val="00DF4996"/>
    <w:rsid w:val="00DF645F"/>
    <w:rsid w:val="00DF6770"/>
    <w:rsid w:val="00DF6A99"/>
    <w:rsid w:val="00DF7393"/>
    <w:rsid w:val="00E013EF"/>
    <w:rsid w:val="00E03D58"/>
    <w:rsid w:val="00E04B7B"/>
    <w:rsid w:val="00E04FD9"/>
    <w:rsid w:val="00E07BB5"/>
    <w:rsid w:val="00E10F45"/>
    <w:rsid w:val="00E1436A"/>
    <w:rsid w:val="00E15767"/>
    <w:rsid w:val="00E166EB"/>
    <w:rsid w:val="00E16CA0"/>
    <w:rsid w:val="00E1707D"/>
    <w:rsid w:val="00E176FB"/>
    <w:rsid w:val="00E20159"/>
    <w:rsid w:val="00E2077F"/>
    <w:rsid w:val="00E211F6"/>
    <w:rsid w:val="00E21994"/>
    <w:rsid w:val="00E21F39"/>
    <w:rsid w:val="00E22DDD"/>
    <w:rsid w:val="00E23202"/>
    <w:rsid w:val="00E23915"/>
    <w:rsid w:val="00E24B69"/>
    <w:rsid w:val="00E260BB"/>
    <w:rsid w:val="00E26A64"/>
    <w:rsid w:val="00E31162"/>
    <w:rsid w:val="00E3140E"/>
    <w:rsid w:val="00E32185"/>
    <w:rsid w:val="00E33580"/>
    <w:rsid w:val="00E33F3C"/>
    <w:rsid w:val="00E3784F"/>
    <w:rsid w:val="00E378E3"/>
    <w:rsid w:val="00E4127E"/>
    <w:rsid w:val="00E426D5"/>
    <w:rsid w:val="00E50281"/>
    <w:rsid w:val="00E50761"/>
    <w:rsid w:val="00E50EC8"/>
    <w:rsid w:val="00E527E3"/>
    <w:rsid w:val="00E53A8A"/>
    <w:rsid w:val="00E55ECB"/>
    <w:rsid w:val="00E56A4A"/>
    <w:rsid w:val="00E61E40"/>
    <w:rsid w:val="00E650D3"/>
    <w:rsid w:val="00E65CE8"/>
    <w:rsid w:val="00E66817"/>
    <w:rsid w:val="00E66ECF"/>
    <w:rsid w:val="00E81FD9"/>
    <w:rsid w:val="00E8215E"/>
    <w:rsid w:val="00E827F6"/>
    <w:rsid w:val="00E83C95"/>
    <w:rsid w:val="00E83E5A"/>
    <w:rsid w:val="00E863F2"/>
    <w:rsid w:val="00E87295"/>
    <w:rsid w:val="00E87BE4"/>
    <w:rsid w:val="00E903B8"/>
    <w:rsid w:val="00E93181"/>
    <w:rsid w:val="00E945CB"/>
    <w:rsid w:val="00E976AB"/>
    <w:rsid w:val="00EA240B"/>
    <w:rsid w:val="00EA2F6C"/>
    <w:rsid w:val="00EA38B4"/>
    <w:rsid w:val="00EA4608"/>
    <w:rsid w:val="00EA5206"/>
    <w:rsid w:val="00EA5684"/>
    <w:rsid w:val="00EA58C2"/>
    <w:rsid w:val="00EA5973"/>
    <w:rsid w:val="00EB3782"/>
    <w:rsid w:val="00EB3B0F"/>
    <w:rsid w:val="00EB4FBA"/>
    <w:rsid w:val="00EC078B"/>
    <w:rsid w:val="00EC0F15"/>
    <w:rsid w:val="00EC2C0F"/>
    <w:rsid w:val="00EC34CF"/>
    <w:rsid w:val="00EC37F9"/>
    <w:rsid w:val="00EC5FD1"/>
    <w:rsid w:val="00EC7E7E"/>
    <w:rsid w:val="00ED13CB"/>
    <w:rsid w:val="00ED1DEF"/>
    <w:rsid w:val="00ED3788"/>
    <w:rsid w:val="00EE0D56"/>
    <w:rsid w:val="00EE22BB"/>
    <w:rsid w:val="00EE2A91"/>
    <w:rsid w:val="00EE41B3"/>
    <w:rsid w:val="00EE41CE"/>
    <w:rsid w:val="00EE4C3B"/>
    <w:rsid w:val="00EEE736"/>
    <w:rsid w:val="00EF1DF7"/>
    <w:rsid w:val="00EF3715"/>
    <w:rsid w:val="00EF39B2"/>
    <w:rsid w:val="00EF4491"/>
    <w:rsid w:val="00EF5744"/>
    <w:rsid w:val="00EF7150"/>
    <w:rsid w:val="00F032AE"/>
    <w:rsid w:val="00F040A4"/>
    <w:rsid w:val="00F06935"/>
    <w:rsid w:val="00F07203"/>
    <w:rsid w:val="00F079D3"/>
    <w:rsid w:val="00F11D2B"/>
    <w:rsid w:val="00F17ED1"/>
    <w:rsid w:val="00F20064"/>
    <w:rsid w:val="00F21EC7"/>
    <w:rsid w:val="00F2513D"/>
    <w:rsid w:val="00F270AC"/>
    <w:rsid w:val="00F27BD2"/>
    <w:rsid w:val="00F27E7F"/>
    <w:rsid w:val="00F30C21"/>
    <w:rsid w:val="00F31FF7"/>
    <w:rsid w:val="00F32FF7"/>
    <w:rsid w:val="00F33374"/>
    <w:rsid w:val="00F3481F"/>
    <w:rsid w:val="00F34A23"/>
    <w:rsid w:val="00F35E2F"/>
    <w:rsid w:val="00F36142"/>
    <w:rsid w:val="00F41623"/>
    <w:rsid w:val="00F41994"/>
    <w:rsid w:val="00F41BC6"/>
    <w:rsid w:val="00F42E55"/>
    <w:rsid w:val="00F44D63"/>
    <w:rsid w:val="00F45A36"/>
    <w:rsid w:val="00F46DE2"/>
    <w:rsid w:val="00F47E8B"/>
    <w:rsid w:val="00F500CF"/>
    <w:rsid w:val="00F50B25"/>
    <w:rsid w:val="00F51EB2"/>
    <w:rsid w:val="00F53221"/>
    <w:rsid w:val="00F53264"/>
    <w:rsid w:val="00F54440"/>
    <w:rsid w:val="00F546AD"/>
    <w:rsid w:val="00F55191"/>
    <w:rsid w:val="00F56C25"/>
    <w:rsid w:val="00F56FFE"/>
    <w:rsid w:val="00F6189F"/>
    <w:rsid w:val="00F62B75"/>
    <w:rsid w:val="00F635E9"/>
    <w:rsid w:val="00F65755"/>
    <w:rsid w:val="00F65981"/>
    <w:rsid w:val="00F65FBD"/>
    <w:rsid w:val="00F67A6B"/>
    <w:rsid w:val="00F728B3"/>
    <w:rsid w:val="00F72E5A"/>
    <w:rsid w:val="00F7494D"/>
    <w:rsid w:val="00F801B6"/>
    <w:rsid w:val="00F805A1"/>
    <w:rsid w:val="00F8287E"/>
    <w:rsid w:val="00F835D7"/>
    <w:rsid w:val="00F84C9B"/>
    <w:rsid w:val="00F861A7"/>
    <w:rsid w:val="00F86252"/>
    <w:rsid w:val="00F92CAD"/>
    <w:rsid w:val="00F93C10"/>
    <w:rsid w:val="00F946BF"/>
    <w:rsid w:val="00F96CCD"/>
    <w:rsid w:val="00FA0A48"/>
    <w:rsid w:val="00FA1B29"/>
    <w:rsid w:val="00FA2D18"/>
    <w:rsid w:val="00FA3FE5"/>
    <w:rsid w:val="00FA487B"/>
    <w:rsid w:val="00FA5759"/>
    <w:rsid w:val="00FA7B62"/>
    <w:rsid w:val="00FB0E35"/>
    <w:rsid w:val="00FB148D"/>
    <w:rsid w:val="00FB355F"/>
    <w:rsid w:val="00FB35EE"/>
    <w:rsid w:val="00FB4CEA"/>
    <w:rsid w:val="00FB5645"/>
    <w:rsid w:val="00FB6EBC"/>
    <w:rsid w:val="00FC0DD1"/>
    <w:rsid w:val="00FC0ED6"/>
    <w:rsid w:val="00FC1502"/>
    <w:rsid w:val="00FC3636"/>
    <w:rsid w:val="00FC3CDC"/>
    <w:rsid w:val="00FC4381"/>
    <w:rsid w:val="00FC5056"/>
    <w:rsid w:val="00FC5BCF"/>
    <w:rsid w:val="00FC6A86"/>
    <w:rsid w:val="00FC778A"/>
    <w:rsid w:val="00FD02F3"/>
    <w:rsid w:val="00FD109D"/>
    <w:rsid w:val="00FD1F3F"/>
    <w:rsid w:val="00FD2112"/>
    <w:rsid w:val="00FD315F"/>
    <w:rsid w:val="00FD3D68"/>
    <w:rsid w:val="00FD51A7"/>
    <w:rsid w:val="00FD52E3"/>
    <w:rsid w:val="00FD7330"/>
    <w:rsid w:val="00FD79E1"/>
    <w:rsid w:val="00FE0E73"/>
    <w:rsid w:val="00FE2342"/>
    <w:rsid w:val="00FE3DF7"/>
    <w:rsid w:val="00FE4818"/>
    <w:rsid w:val="00FE4BBE"/>
    <w:rsid w:val="00FE7ED5"/>
    <w:rsid w:val="00FF2CC2"/>
    <w:rsid w:val="00FF44E1"/>
    <w:rsid w:val="00FF4CFF"/>
    <w:rsid w:val="00FF7F47"/>
    <w:rsid w:val="01072395"/>
    <w:rsid w:val="011595FE"/>
    <w:rsid w:val="0119EE36"/>
    <w:rsid w:val="0148625C"/>
    <w:rsid w:val="015E64EB"/>
    <w:rsid w:val="01892317"/>
    <w:rsid w:val="019636A4"/>
    <w:rsid w:val="01E68C61"/>
    <w:rsid w:val="02112734"/>
    <w:rsid w:val="022253FD"/>
    <w:rsid w:val="024A4A64"/>
    <w:rsid w:val="025523CE"/>
    <w:rsid w:val="02648D0A"/>
    <w:rsid w:val="0284763F"/>
    <w:rsid w:val="02890B24"/>
    <w:rsid w:val="0294241F"/>
    <w:rsid w:val="02E3B0CE"/>
    <w:rsid w:val="02E8D946"/>
    <w:rsid w:val="0319AAB3"/>
    <w:rsid w:val="032B192B"/>
    <w:rsid w:val="0378BA04"/>
    <w:rsid w:val="03798FA9"/>
    <w:rsid w:val="038065DF"/>
    <w:rsid w:val="0389C302"/>
    <w:rsid w:val="039F9331"/>
    <w:rsid w:val="03AE52A4"/>
    <w:rsid w:val="03CB04F4"/>
    <w:rsid w:val="03FD11B5"/>
    <w:rsid w:val="043280B3"/>
    <w:rsid w:val="0494C54E"/>
    <w:rsid w:val="04C42E0C"/>
    <w:rsid w:val="04CDA12E"/>
    <w:rsid w:val="050C5F4D"/>
    <w:rsid w:val="05346028"/>
    <w:rsid w:val="05742D13"/>
    <w:rsid w:val="0599B548"/>
    <w:rsid w:val="05A08F24"/>
    <w:rsid w:val="05BFBFDD"/>
    <w:rsid w:val="05DBA6C6"/>
    <w:rsid w:val="05F87348"/>
    <w:rsid w:val="0632D22D"/>
    <w:rsid w:val="06480A4D"/>
    <w:rsid w:val="06A82FAE"/>
    <w:rsid w:val="06D130B4"/>
    <w:rsid w:val="06E050E9"/>
    <w:rsid w:val="06E8BA63"/>
    <w:rsid w:val="070E8DA9"/>
    <w:rsid w:val="07242D71"/>
    <w:rsid w:val="073CF41F"/>
    <w:rsid w:val="073F80A6"/>
    <w:rsid w:val="076AE2FB"/>
    <w:rsid w:val="0790EFDA"/>
    <w:rsid w:val="0792E2DE"/>
    <w:rsid w:val="07BABBC9"/>
    <w:rsid w:val="07CF7908"/>
    <w:rsid w:val="07D5028A"/>
    <w:rsid w:val="07EAC634"/>
    <w:rsid w:val="07F9F908"/>
    <w:rsid w:val="080B157A"/>
    <w:rsid w:val="080B9A97"/>
    <w:rsid w:val="085D90F5"/>
    <w:rsid w:val="085FAE74"/>
    <w:rsid w:val="08A2AB40"/>
    <w:rsid w:val="08A31701"/>
    <w:rsid w:val="08A4264E"/>
    <w:rsid w:val="0902D3A4"/>
    <w:rsid w:val="0976D8E1"/>
    <w:rsid w:val="099EF000"/>
    <w:rsid w:val="09DFD070"/>
    <w:rsid w:val="0A02A747"/>
    <w:rsid w:val="0A83EE12"/>
    <w:rsid w:val="0A8BDB98"/>
    <w:rsid w:val="0AC2C208"/>
    <w:rsid w:val="0AE110A1"/>
    <w:rsid w:val="0AEE4803"/>
    <w:rsid w:val="0B672FBB"/>
    <w:rsid w:val="0BADB75F"/>
    <w:rsid w:val="0BB1667D"/>
    <w:rsid w:val="0C27ABF9"/>
    <w:rsid w:val="0C2BEB2E"/>
    <w:rsid w:val="0C3932FC"/>
    <w:rsid w:val="0C7FC1F6"/>
    <w:rsid w:val="0CCF2C87"/>
    <w:rsid w:val="0CF3A2F7"/>
    <w:rsid w:val="0CFC9C40"/>
    <w:rsid w:val="0D03057A"/>
    <w:rsid w:val="0D0682B9"/>
    <w:rsid w:val="0D71780D"/>
    <w:rsid w:val="0DA09807"/>
    <w:rsid w:val="0DA510F9"/>
    <w:rsid w:val="0DA60BB4"/>
    <w:rsid w:val="0DA6EDE1"/>
    <w:rsid w:val="0DD01B4A"/>
    <w:rsid w:val="0E12E2CD"/>
    <w:rsid w:val="0E4C1D1D"/>
    <w:rsid w:val="0E77F91E"/>
    <w:rsid w:val="0EBDC967"/>
    <w:rsid w:val="0F19E1CB"/>
    <w:rsid w:val="0F3139AC"/>
    <w:rsid w:val="0F480852"/>
    <w:rsid w:val="0F4C5EC1"/>
    <w:rsid w:val="0F9B9D7C"/>
    <w:rsid w:val="0FAA273B"/>
    <w:rsid w:val="0FAAE801"/>
    <w:rsid w:val="0FB23FC0"/>
    <w:rsid w:val="0FCF9CD9"/>
    <w:rsid w:val="106F63B7"/>
    <w:rsid w:val="1095F48A"/>
    <w:rsid w:val="112A751C"/>
    <w:rsid w:val="112F4D53"/>
    <w:rsid w:val="117BDEC3"/>
    <w:rsid w:val="11D5F9EF"/>
    <w:rsid w:val="11DAF8C3"/>
    <w:rsid w:val="11FAB373"/>
    <w:rsid w:val="12097BD2"/>
    <w:rsid w:val="1258F56B"/>
    <w:rsid w:val="1270DEBC"/>
    <w:rsid w:val="12800047"/>
    <w:rsid w:val="128D29CE"/>
    <w:rsid w:val="129D21CB"/>
    <w:rsid w:val="12AC3540"/>
    <w:rsid w:val="12C8D271"/>
    <w:rsid w:val="12DB6F66"/>
    <w:rsid w:val="12EBA0DC"/>
    <w:rsid w:val="1316E4DB"/>
    <w:rsid w:val="132ECC3A"/>
    <w:rsid w:val="1337299E"/>
    <w:rsid w:val="1346D0DE"/>
    <w:rsid w:val="134F4A49"/>
    <w:rsid w:val="135F4321"/>
    <w:rsid w:val="1367211A"/>
    <w:rsid w:val="136FCC4C"/>
    <w:rsid w:val="13D4AA4B"/>
    <w:rsid w:val="141AFF84"/>
    <w:rsid w:val="144C22A9"/>
    <w:rsid w:val="14A4D0EB"/>
    <w:rsid w:val="14F2604C"/>
    <w:rsid w:val="14FF2F4E"/>
    <w:rsid w:val="1510A1B7"/>
    <w:rsid w:val="151EB560"/>
    <w:rsid w:val="15A7BE77"/>
    <w:rsid w:val="15BBDE34"/>
    <w:rsid w:val="15BE7817"/>
    <w:rsid w:val="15CE8E3F"/>
    <w:rsid w:val="1605649E"/>
    <w:rsid w:val="162B2F24"/>
    <w:rsid w:val="1662BD32"/>
    <w:rsid w:val="16846CC4"/>
    <w:rsid w:val="169542F4"/>
    <w:rsid w:val="16AB8504"/>
    <w:rsid w:val="16BACB59"/>
    <w:rsid w:val="16F6F8AD"/>
    <w:rsid w:val="16FD1ED0"/>
    <w:rsid w:val="17277185"/>
    <w:rsid w:val="173EA233"/>
    <w:rsid w:val="1778A4E7"/>
    <w:rsid w:val="178D88CD"/>
    <w:rsid w:val="179E09FC"/>
    <w:rsid w:val="17AB0030"/>
    <w:rsid w:val="17B00D8C"/>
    <w:rsid w:val="183D113E"/>
    <w:rsid w:val="18714E84"/>
    <w:rsid w:val="18757A87"/>
    <w:rsid w:val="18A61CF7"/>
    <w:rsid w:val="18C88211"/>
    <w:rsid w:val="18CED658"/>
    <w:rsid w:val="18D4D0C1"/>
    <w:rsid w:val="18DDDA36"/>
    <w:rsid w:val="18E0AFE6"/>
    <w:rsid w:val="190D52B0"/>
    <w:rsid w:val="196204D8"/>
    <w:rsid w:val="1962521A"/>
    <w:rsid w:val="19728310"/>
    <w:rsid w:val="19C3BD71"/>
    <w:rsid w:val="19C64A05"/>
    <w:rsid w:val="19E8E68E"/>
    <w:rsid w:val="1A15223A"/>
    <w:rsid w:val="1A1A4192"/>
    <w:rsid w:val="1A35725E"/>
    <w:rsid w:val="1A488EDB"/>
    <w:rsid w:val="1A63C765"/>
    <w:rsid w:val="1A71FBCC"/>
    <w:rsid w:val="1A802EB5"/>
    <w:rsid w:val="1AAAF90E"/>
    <w:rsid w:val="1AC4DF26"/>
    <w:rsid w:val="1AC91B02"/>
    <w:rsid w:val="1AD08ED0"/>
    <w:rsid w:val="1AD3F9AB"/>
    <w:rsid w:val="1B242062"/>
    <w:rsid w:val="1B34369C"/>
    <w:rsid w:val="1B4C41D2"/>
    <w:rsid w:val="1BACA2E7"/>
    <w:rsid w:val="1BB1D8EB"/>
    <w:rsid w:val="1BB53F1F"/>
    <w:rsid w:val="1BBCC67A"/>
    <w:rsid w:val="1BCA4EE8"/>
    <w:rsid w:val="1C24B80C"/>
    <w:rsid w:val="1C27F04E"/>
    <w:rsid w:val="1C28BAF2"/>
    <w:rsid w:val="1C384B92"/>
    <w:rsid w:val="1C6A2AF3"/>
    <w:rsid w:val="1C76E9BA"/>
    <w:rsid w:val="1C90E4F3"/>
    <w:rsid w:val="1CE24F9B"/>
    <w:rsid w:val="1D107CD3"/>
    <w:rsid w:val="1D2BC4C5"/>
    <w:rsid w:val="1D336891"/>
    <w:rsid w:val="1D472C98"/>
    <w:rsid w:val="1D7EF3D9"/>
    <w:rsid w:val="1D9C971A"/>
    <w:rsid w:val="1DC0886D"/>
    <w:rsid w:val="1DC142C4"/>
    <w:rsid w:val="1E0B09AD"/>
    <w:rsid w:val="1E19B999"/>
    <w:rsid w:val="1E19FD68"/>
    <w:rsid w:val="1E3992A5"/>
    <w:rsid w:val="1E58CE34"/>
    <w:rsid w:val="1E5EB622"/>
    <w:rsid w:val="1E93F0E7"/>
    <w:rsid w:val="1EC79526"/>
    <w:rsid w:val="1EE247A0"/>
    <w:rsid w:val="1F3ADB8C"/>
    <w:rsid w:val="1F505BD7"/>
    <w:rsid w:val="1F616AFD"/>
    <w:rsid w:val="1F6ECD7C"/>
    <w:rsid w:val="1F73774C"/>
    <w:rsid w:val="1F9C06E8"/>
    <w:rsid w:val="1FC885B5"/>
    <w:rsid w:val="1FF20358"/>
    <w:rsid w:val="200090BB"/>
    <w:rsid w:val="20336CC5"/>
    <w:rsid w:val="203A8CEF"/>
    <w:rsid w:val="203ED044"/>
    <w:rsid w:val="20500B1B"/>
    <w:rsid w:val="205E4B71"/>
    <w:rsid w:val="2097B520"/>
    <w:rsid w:val="20A2C1B2"/>
    <w:rsid w:val="20BA368E"/>
    <w:rsid w:val="20FF4D6C"/>
    <w:rsid w:val="21240930"/>
    <w:rsid w:val="21606DC5"/>
    <w:rsid w:val="21BDD11F"/>
    <w:rsid w:val="21CC7526"/>
    <w:rsid w:val="21F01B30"/>
    <w:rsid w:val="21FB0C8F"/>
    <w:rsid w:val="2233F6BF"/>
    <w:rsid w:val="223E9213"/>
    <w:rsid w:val="2287129F"/>
    <w:rsid w:val="228952BC"/>
    <w:rsid w:val="22C5077A"/>
    <w:rsid w:val="22C9F226"/>
    <w:rsid w:val="22EF8653"/>
    <w:rsid w:val="232631E2"/>
    <w:rsid w:val="2331BA76"/>
    <w:rsid w:val="2337F039"/>
    <w:rsid w:val="23380431"/>
    <w:rsid w:val="2357C698"/>
    <w:rsid w:val="23ADE813"/>
    <w:rsid w:val="23B0F182"/>
    <w:rsid w:val="23BB2468"/>
    <w:rsid w:val="23C56ED3"/>
    <w:rsid w:val="24303D66"/>
    <w:rsid w:val="244AF0AD"/>
    <w:rsid w:val="24C17D1C"/>
    <w:rsid w:val="24CF33E0"/>
    <w:rsid w:val="24DA7310"/>
    <w:rsid w:val="24E2E438"/>
    <w:rsid w:val="24F0E1CE"/>
    <w:rsid w:val="2578C4AD"/>
    <w:rsid w:val="2586173B"/>
    <w:rsid w:val="25872C55"/>
    <w:rsid w:val="25A369CD"/>
    <w:rsid w:val="25AD0E12"/>
    <w:rsid w:val="25B24D90"/>
    <w:rsid w:val="25DE0F2C"/>
    <w:rsid w:val="25E63A74"/>
    <w:rsid w:val="2600C5CE"/>
    <w:rsid w:val="26134177"/>
    <w:rsid w:val="267771BD"/>
    <w:rsid w:val="267C8B57"/>
    <w:rsid w:val="26847E4C"/>
    <w:rsid w:val="26D3DB51"/>
    <w:rsid w:val="26EC1053"/>
    <w:rsid w:val="26FD0735"/>
    <w:rsid w:val="271310C4"/>
    <w:rsid w:val="27241FFD"/>
    <w:rsid w:val="279647CA"/>
    <w:rsid w:val="27C1127F"/>
    <w:rsid w:val="27D6531E"/>
    <w:rsid w:val="280B7554"/>
    <w:rsid w:val="2818A50B"/>
    <w:rsid w:val="28373342"/>
    <w:rsid w:val="28387DE4"/>
    <w:rsid w:val="28476319"/>
    <w:rsid w:val="285DD927"/>
    <w:rsid w:val="2883A037"/>
    <w:rsid w:val="28A1BF07"/>
    <w:rsid w:val="28DB35C0"/>
    <w:rsid w:val="290B0061"/>
    <w:rsid w:val="291F73D5"/>
    <w:rsid w:val="2952F248"/>
    <w:rsid w:val="29709F0E"/>
    <w:rsid w:val="29B29882"/>
    <w:rsid w:val="29E3337A"/>
    <w:rsid w:val="29E9F0C1"/>
    <w:rsid w:val="2A020CFB"/>
    <w:rsid w:val="2A0A47CD"/>
    <w:rsid w:val="2A1F9776"/>
    <w:rsid w:val="2A66A02B"/>
    <w:rsid w:val="2A8E63B4"/>
    <w:rsid w:val="2A972982"/>
    <w:rsid w:val="2AE0C8E5"/>
    <w:rsid w:val="2B47056D"/>
    <w:rsid w:val="2B6BD6A2"/>
    <w:rsid w:val="2B704F6F"/>
    <w:rsid w:val="2B8182EB"/>
    <w:rsid w:val="2B92BDC2"/>
    <w:rsid w:val="2BC14D30"/>
    <w:rsid w:val="2BDD37A8"/>
    <w:rsid w:val="2BE37B11"/>
    <w:rsid w:val="2BE6849C"/>
    <w:rsid w:val="2C0B0E8A"/>
    <w:rsid w:val="2C48786F"/>
    <w:rsid w:val="2C5F5567"/>
    <w:rsid w:val="2C824B5C"/>
    <w:rsid w:val="2CB8E37B"/>
    <w:rsid w:val="2CC6BD7E"/>
    <w:rsid w:val="2CF86310"/>
    <w:rsid w:val="2CFAEA00"/>
    <w:rsid w:val="2CFDB275"/>
    <w:rsid w:val="2D377A16"/>
    <w:rsid w:val="2D50077D"/>
    <w:rsid w:val="2D7A001B"/>
    <w:rsid w:val="2D8B2470"/>
    <w:rsid w:val="2DB1B3FB"/>
    <w:rsid w:val="2DBEC1B7"/>
    <w:rsid w:val="2DC3734C"/>
    <w:rsid w:val="2E531DE4"/>
    <w:rsid w:val="2E7667D4"/>
    <w:rsid w:val="2EB7251C"/>
    <w:rsid w:val="2EDDB8F0"/>
    <w:rsid w:val="2F13D124"/>
    <w:rsid w:val="2F25CAF4"/>
    <w:rsid w:val="2FE7EFC9"/>
    <w:rsid w:val="2FFB2917"/>
    <w:rsid w:val="302CEE8C"/>
    <w:rsid w:val="303DDA1A"/>
    <w:rsid w:val="30662EE5"/>
    <w:rsid w:val="30843EB4"/>
    <w:rsid w:val="3088D140"/>
    <w:rsid w:val="30947995"/>
    <w:rsid w:val="3099AF96"/>
    <w:rsid w:val="309C84DB"/>
    <w:rsid w:val="30AC479D"/>
    <w:rsid w:val="30B8F033"/>
    <w:rsid w:val="30E39332"/>
    <w:rsid w:val="30F01B18"/>
    <w:rsid w:val="30F0C6C5"/>
    <w:rsid w:val="311B75F2"/>
    <w:rsid w:val="3141B229"/>
    <w:rsid w:val="31687A1D"/>
    <w:rsid w:val="3176C660"/>
    <w:rsid w:val="317B37E6"/>
    <w:rsid w:val="318ABEA6"/>
    <w:rsid w:val="31AEE3F2"/>
    <w:rsid w:val="31CEA6CC"/>
    <w:rsid w:val="31D56F6B"/>
    <w:rsid w:val="32188731"/>
    <w:rsid w:val="32434EDA"/>
    <w:rsid w:val="326111CC"/>
    <w:rsid w:val="32B021C5"/>
    <w:rsid w:val="32B90CBB"/>
    <w:rsid w:val="32C72064"/>
    <w:rsid w:val="32E9BD50"/>
    <w:rsid w:val="330B5C1B"/>
    <w:rsid w:val="3329D23C"/>
    <w:rsid w:val="33532A88"/>
    <w:rsid w:val="33679842"/>
    <w:rsid w:val="33CB3422"/>
    <w:rsid w:val="33F9D3EB"/>
    <w:rsid w:val="340D4108"/>
    <w:rsid w:val="34A6A77E"/>
    <w:rsid w:val="34D15680"/>
    <w:rsid w:val="34E5A958"/>
    <w:rsid w:val="353E877A"/>
    <w:rsid w:val="354FBCB9"/>
    <w:rsid w:val="35DC506A"/>
    <w:rsid w:val="35EAA1B3"/>
    <w:rsid w:val="36182A6A"/>
    <w:rsid w:val="3631D16B"/>
    <w:rsid w:val="368179B9"/>
    <w:rsid w:val="36BC9CF2"/>
    <w:rsid w:val="36DD382C"/>
    <w:rsid w:val="36E4AA0C"/>
    <w:rsid w:val="3704CA49"/>
    <w:rsid w:val="3718E8F1"/>
    <w:rsid w:val="373C60CC"/>
    <w:rsid w:val="3748B157"/>
    <w:rsid w:val="3763407D"/>
    <w:rsid w:val="3766D44D"/>
    <w:rsid w:val="37AF959C"/>
    <w:rsid w:val="37CE7999"/>
    <w:rsid w:val="37F28522"/>
    <w:rsid w:val="380B89D9"/>
    <w:rsid w:val="3877D152"/>
    <w:rsid w:val="388389D6"/>
    <w:rsid w:val="38876EA6"/>
    <w:rsid w:val="38AF4C8A"/>
    <w:rsid w:val="38C148E1"/>
    <w:rsid w:val="38DC5852"/>
    <w:rsid w:val="38EA9EA5"/>
    <w:rsid w:val="393B3656"/>
    <w:rsid w:val="3945C4E8"/>
    <w:rsid w:val="394898DE"/>
    <w:rsid w:val="3968F389"/>
    <w:rsid w:val="39945DB7"/>
    <w:rsid w:val="399929EB"/>
    <w:rsid w:val="399AA4C4"/>
    <w:rsid w:val="39FBD563"/>
    <w:rsid w:val="3A262F31"/>
    <w:rsid w:val="3A4ACD35"/>
    <w:rsid w:val="3A5FEF80"/>
    <w:rsid w:val="3A752C77"/>
    <w:rsid w:val="3A8047B9"/>
    <w:rsid w:val="3A8E5ECF"/>
    <w:rsid w:val="3AD670EA"/>
    <w:rsid w:val="3AF7D351"/>
    <w:rsid w:val="3B5822B6"/>
    <w:rsid w:val="3BA0D442"/>
    <w:rsid w:val="3BC48E25"/>
    <w:rsid w:val="3BF7DE07"/>
    <w:rsid w:val="3C0FD1EF"/>
    <w:rsid w:val="3C56A0B5"/>
    <w:rsid w:val="3C657EA7"/>
    <w:rsid w:val="3CA50306"/>
    <w:rsid w:val="3CA7242C"/>
    <w:rsid w:val="3CA913D5"/>
    <w:rsid w:val="3CBCD159"/>
    <w:rsid w:val="3CCE56A2"/>
    <w:rsid w:val="3CF66EDD"/>
    <w:rsid w:val="3D07697D"/>
    <w:rsid w:val="3D12E8EA"/>
    <w:rsid w:val="3D2E787C"/>
    <w:rsid w:val="3D38C32F"/>
    <w:rsid w:val="3D416DCA"/>
    <w:rsid w:val="3D58934A"/>
    <w:rsid w:val="3DAD7EB0"/>
    <w:rsid w:val="3DDC8B3B"/>
    <w:rsid w:val="3E11BE11"/>
    <w:rsid w:val="3E209D88"/>
    <w:rsid w:val="3E48686D"/>
    <w:rsid w:val="3EAACDCC"/>
    <w:rsid w:val="3ECD7053"/>
    <w:rsid w:val="3EE6BA41"/>
    <w:rsid w:val="3EFE09B6"/>
    <w:rsid w:val="3F270930"/>
    <w:rsid w:val="3F547A27"/>
    <w:rsid w:val="3F662AB4"/>
    <w:rsid w:val="3F734A10"/>
    <w:rsid w:val="3F7C1F5C"/>
    <w:rsid w:val="3F8FF062"/>
    <w:rsid w:val="3F94CD3C"/>
    <w:rsid w:val="3FB2E79C"/>
    <w:rsid w:val="3FBBA3A0"/>
    <w:rsid w:val="3FC8C2BE"/>
    <w:rsid w:val="3FE9389A"/>
    <w:rsid w:val="40417EED"/>
    <w:rsid w:val="40632A52"/>
    <w:rsid w:val="406DDF50"/>
    <w:rsid w:val="40791AC5"/>
    <w:rsid w:val="40A7424D"/>
    <w:rsid w:val="40AE1065"/>
    <w:rsid w:val="40AFB32C"/>
    <w:rsid w:val="40C7D1E8"/>
    <w:rsid w:val="40CDEBC5"/>
    <w:rsid w:val="40D86806"/>
    <w:rsid w:val="412E432E"/>
    <w:rsid w:val="41352202"/>
    <w:rsid w:val="414E5886"/>
    <w:rsid w:val="41508A36"/>
    <w:rsid w:val="4172BE11"/>
    <w:rsid w:val="4188BCC5"/>
    <w:rsid w:val="41BD7706"/>
    <w:rsid w:val="41CB8212"/>
    <w:rsid w:val="41ECD78D"/>
    <w:rsid w:val="42161A16"/>
    <w:rsid w:val="423517B6"/>
    <w:rsid w:val="426E3ED3"/>
    <w:rsid w:val="42A6EACC"/>
    <w:rsid w:val="42BB3746"/>
    <w:rsid w:val="42CFF3F7"/>
    <w:rsid w:val="42D74B52"/>
    <w:rsid w:val="42DE0F14"/>
    <w:rsid w:val="432C4BE0"/>
    <w:rsid w:val="43480F94"/>
    <w:rsid w:val="434E6E56"/>
    <w:rsid w:val="4354FA1B"/>
    <w:rsid w:val="438D46B1"/>
    <w:rsid w:val="43A6D202"/>
    <w:rsid w:val="43D6C861"/>
    <w:rsid w:val="43FF597F"/>
    <w:rsid w:val="44339956"/>
    <w:rsid w:val="44397A75"/>
    <w:rsid w:val="444D1448"/>
    <w:rsid w:val="445BD6E2"/>
    <w:rsid w:val="448C4157"/>
    <w:rsid w:val="44D297E1"/>
    <w:rsid w:val="44FE40D1"/>
    <w:rsid w:val="45035187"/>
    <w:rsid w:val="453F0989"/>
    <w:rsid w:val="4553A6EC"/>
    <w:rsid w:val="456D4B3A"/>
    <w:rsid w:val="459166D0"/>
    <w:rsid w:val="459B29E0"/>
    <w:rsid w:val="45D32AAB"/>
    <w:rsid w:val="45E79D20"/>
    <w:rsid w:val="46582394"/>
    <w:rsid w:val="46664C0C"/>
    <w:rsid w:val="46BB2BF6"/>
    <w:rsid w:val="46D78E18"/>
    <w:rsid w:val="46DA6A02"/>
    <w:rsid w:val="46DDF9BE"/>
    <w:rsid w:val="470F657E"/>
    <w:rsid w:val="472A8C71"/>
    <w:rsid w:val="473C95D1"/>
    <w:rsid w:val="47572C4E"/>
    <w:rsid w:val="476F5555"/>
    <w:rsid w:val="4778AF9A"/>
    <w:rsid w:val="4781D9EA"/>
    <w:rsid w:val="47870861"/>
    <w:rsid w:val="47B4F3F2"/>
    <w:rsid w:val="47D33597"/>
    <w:rsid w:val="47D52ED8"/>
    <w:rsid w:val="47E256F6"/>
    <w:rsid w:val="48021780"/>
    <w:rsid w:val="48035F03"/>
    <w:rsid w:val="48092BFF"/>
    <w:rsid w:val="4838454F"/>
    <w:rsid w:val="4843D531"/>
    <w:rsid w:val="487CCDDF"/>
    <w:rsid w:val="489B8E9F"/>
    <w:rsid w:val="495DAD0E"/>
    <w:rsid w:val="4982B58A"/>
    <w:rsid w:val="4A0FFD39"/>
    <w:rsid w:val="4A1BED12"/>
    <w:rsid w:val="4A5983C5"/>
    <w:rsid w:val="4A91CB6B"/>
    <w:rsid w:val="4AADC654"/>
    <w:rsid w:val="4AB6DC33"/>
    <w:rsid w:val="4AC018FF"/>
    <w:rsid w:val="4AC1DD7F"/>
    <w:rsid w:val="4AC43C68"/>
    <w:rsid w:val="4AC8CAF3"/>
    <w:rsid w:val="4AD05CA6"/>
    <w:rsid w:val="4AEC94B4"/>
    <w:rsid w:val="4B15FD8D"/>
    <w:rsid w:val="4B23CBE5"/>
    <w:rsid w:val="4B2CE184"/>
    <w:rsid w:val="4B54016A"/>
    <w:rsid w:val="4B8B1CA2"/>
    <w:rsid w:val="4BAE049B"/>
    <w:rsid w:val="4BEFA003"/>
    <w:rsid w:val="4C034B38"/>
    <w:rsid w:val="4C0EAB16"/>
    <w:rsid w:val="4C16ABBE"/>
    <w:rsid w:val="4C4171C0"/>
    <w:rsid w:val="4C554B0D"/>
    <w:rsid w:val="4C81311C"/>
    <w:rsid w:val="4CABA6A1"/>
    <w:rsid w:val="4CAFBD6C"/>
    <w:rsid w:val="4D1CFA2E"/>
    <w:rsid w:val="4D782A4E"/>
    <w:rsid w:val="4D835058"/>
    <w:rsid w:val="4DF143F2"/>
    <w:rsid w:val="4E15D857"/>
    <w:rsid w:val="4E1643E2"/>
    <w:rsid w:val="4E1E99FD"/>
    <w:rsid w:val="4E3CB59F"/>
    <w:rsid w:val="4E4ED31A"/>
    <w:rsid w:val="4E798D32"/>
    <w:rsid w:val="4E7AF059"/>
    <w:rsid w:val="4E9DA9F6"/>
    <w:rsid w:val="4E9E3887"/>
    <w:rsid w:val="4ECBF07B"/>
    <w:rsid w:val="4F1FF7FC"/>
    <w:rsid w:val="4F21F66E"/>
    <w:rsid w:val="4F2E7F59"/>
    <w:rsid w:val="4F3DB77D"/>
    <w:rsid w:val="4F4061B4"/>
    <w:rsid w:val="4F41D3D0"/>
    <w:rsid w:val="4F42980B"/>
    <w:rsid w:val="4F503FE2"/>
    <w:rsid w:val="4F627A16"/>
    <w:rsid w:val="4F64CB27"/>
    <w:rsid w:val="4F8F1E22"/>
    <w:rsid w:val="4FC33405"/>
    <w:rsid w:val="4FD2DABD"/>
    <w:rsid w:val="4FE60E60"/>
    <w:rsid w:val="4FE76E8A"/>
    <w:rsid w:val="4FFDE6CC"/>
    <w:rsid w:val="504DA19F"/>
    <w:rsid w:val="505266FC"/>
    <w:rsid w:val="506267A3"/>
    <w:rsid w:val="506D1181"/>
    <w:rsid w:val="509A658B"/>
    <w:rsid w:val="50A15DD8"/>
    <w:rsid w:val="50DDDC87"/>
    <w:rsid w:val="50F6B22C"/>
    <w:rsid w:val="5118E2AC"/>
    <w:rsid w:val="5124D8D5"/>
    <w:rsid w:val="514D4D2C"/>
    <w:rsid w:val="5164AF21"/>
    <w:rsid w:val="51885901"/>
    <w:rsid w:val="518A3057"/>
    <w:rsid w:val="518A9877"/>
    <w:rsid w:val="5191ACA3"/>
    <w:rsid w:val="51AAA22F"/>
    <w:rsid w:val="51C8BB52"/>
    <w:rsid w:val="525B0611"/>
    <w:rsid w:val="525DDF55"/>
    <w:rsid w:val="525FF60F"/>
    <w:rsid w:val="5268742D"/>
    <w:rsid w:val="52694EC3"/>
    <w:rsid w:val="52887C2E"/>
    <w:rsid w:val="52B9412D"/>
    <w:rsid w:val="52C1274A"/>
    <w:rsid w:val="52D8148C"/>
    <w:rsid w:val="5310E5D8"/>
    <w:rsid w:val="5325FB85"/>
    <w:rsid w:val="535222B1"/>
    <w:rsid w:val="535466F0"/>
    <w:rsid w:val="53639601"/>
    <w:rsid w:val="53BCD436"/>
    <w:rsid w:val="545F3F60"/>
    <w:rsid w:val="547CCE92"/>
    <w:rsid w:val="5494588E"/>
    <w:rsid w:val="54DB6196"/>
    <w:rsid w:val="55136145"/>
    <w:rsid w:val="551CBCA4"/>
    <w:rsid w:val="554CEDA7"/>
    <w:rsid w:val="558EB115"/>
    <w:rsid w:val="55A249BA"/>
    <w:rsid w:val="55AFC5FD"/>
    <w:rsid w:val="55BF0896"/>
    <w:rsid w:val="5633DEF0"/>
    <w:rsid w:val="569D2317"/>
    <w:rsid w:val="56A8C300"/>
    <w:rsid w:val="56B7CA96"/>
    <w:rsid w:val="56C62A98"/>
    <w:rsid w:val="56C6A0AE"/>
    <w:rsid w:val="56DB2CAB"/>
    <w:rsid w:val="56F07D26"/>
    <w:rsid w:val="573C62D6"/>
    <w:rsid w:val="57720C9C"/>
    <w:rsid w:val="57808166"/>
    <w:rsid w:val="579F386E"/>
    <w:rsid w:val="57A17ED1"/>
    <w:rsid w:val="57D99379"/>
    <w:rsid w:val="581FAC7E"/>
    <w:rsid w:val="586E7909"/>
    <w:rsid w:val="58877A46"/>
    <w:rsid w:val="58EC264E"/>
    <w:rsid w:val="58F8072B"/>
    <w:rsid w:val="59198826"/>
    <w:rsid w:val="591FA334"/>
    <w:rsid w:val="59673D03"/>
    <w:rsid w:val="598626DC"/>
    <w:rsid w:val="5995AA5C"/>
    <w:rsid w:val="59972C08"/>
    <w:rsid w:val="59B951ED"/>
    <w:rsid w:val="59BD331F"/>
    <w:rsid w:val="59BFABA4"/>
    <w:rsid w:val="5A046870"/>
    <w:rsid w:val="5A2C6DE2"/>
    <w:rsid w:val="5A86AD76"/>
    <w:rsid w:val="5A904BF2"/>
    <w:rsid w:val="5A98D2AD"/>
    <w:rsid w:val="5AB906CA"/>
    <w:rsid w:val="5B1A31B2"/>
    <w:rsid w:val="5B2F3B47"/>
    <w:rsid w:val="5B60420D"/>
    <w:rsid w:val="5BA3297C"/>
    <w:rsid w:val="5BA93C22"/>
    <w:rsid w:val="5BBA4E68"/>
    <w:rsid w:val="5C05BC5F"/>
    <w:rsid w:val="5C1AAB87"/>
    <w:rsid w:val="5C5C6772"/>
    <w:rsid w:val="5CA0D603"/>
    <w:rsid w:val="5CCD4B1E"/>
    <w:rsid w:val="5CE61FC4"/>
    <w:rsid w:val="5D002DDC"/>
    <w:rsid w:val="5D09E0CF"/>
    <w:rsid w:val="5D1E60FA"/>
    <w:rsid w:val="5D2EF1C6"/>
    <w:rsid w:val="5D350775"/>
    <w:rsid w:val="5D393FDA"/>
    <w:rsid w:val="5D6477F5"/>
    <w:rsid w:val="5D8F0109"/>
    <w:rsid w:val="5DA0E637"/>
    <w:rsid w:val="5DD9635E"/>
    <w:rsid w:val="5E013662"/>
    <w:rsid w:val="5E1AE8F1"/>
    <w:rsid w:val="5E51AA79"/>
    <w:rsid w:val="5E879582"/>
    <w:rsid w:val="5EA59A30"/>
    <w:rsid w:val="5EB2EA1C"/>
    <w:rsid w:val="5ED56B5D"/>
    <w:rsid w:val="5F1773CB"/>
    <w:rsid w:val="5F3A9711"/>
    <w:rsid w:val="5F3D5D21"/>
    <w:rsid w:val="5F3F1712"/>
    <w:rsid w:val="5F526C8B"/>
    <w:rsid w:val="5F769892"/>
    <w:rsid w:val="5FACE4A1"/>
    <w:rsid w:val="5FC26FBA"/>
    <w:rsid w:val="5FC6337E"/>
    <w:rsid w:val="5FCC1866"/>
    <w:rsid w:val="5FF48507"/>
    <w:rsid w:val="601DE16C"/>
    <w:rsid w:val="607BF733"/>
    <w:rsid w:val="609CB3F2"/>
    <w:rsid w:val="60A992B7"/>
    <w:rsid w:val="6109B6D9"/>
    <w:rsid w:val="6185B915"/>
    <w:rsid w:val="6190CCC7"/>
    <w:rsid w:val="619B505B"/>
    <w:rsid w:val="61F4E7F5"/>
    <w:rsid w:val="620AB516"/>
    <w:rsid w:val="620B3B1F"/>
    <w:rsid w:val="62144C49"/>
    <w:rsid w:val="6214CCB0"/>
    <w:rsid w:val="6222170B"/>
    <w:rsid w:val="6226C694"/>
    <w:rsid w:val="6236E84F"/>
    <w:rsid w:val="62A6251B"/>
    <w:rsid w:val="62C890E2"/>
    <w:rsid w:val="62CB42F0"/>
    <w:rsid w:val="62DFCA98"/>
    <w:rsid w:val="631FB7E9"/>
    <w:rsid w:val="6328B65E"/>
    <w:rsid w:val="63479EFF"/>
    <w:rsid w:val="63692819"/>
    <w:rsid w:val="636A6B48"/>
    <w:rsid w:val="6375927C"/>
    <w:rsid w:val="638DE323"/>
    <w:rsid w:val="63CC928D"/>
    <w:rsid w:val="63FFE63B"/>
    <w:rsid w:val="642B7FB1"/>
    <w:rsid w:val="6433ED0E"/>
    <w:rsid w:val="644493D0"/>
    <w:rsid w:val="6467DAA4"/>
    <w:rsid w:val="64B273AD"/>
    <w:rsid w:val="64E04A89"/>
    <w:rsid w:val="6507486E"/>
    <w:rsid w:val="6515D851"/>
    <w:rsid w:val="65340F5E"/>
    <w:rsid w:val="65842103"/>
    <w:rsid w:val="65A14D83"/>
    <w:rsid w:val="65B4D6F7"/>
    <w:rsid w:val="6629801E"/>
    <w:rsid w:val="668BA53A"/>
    <w:rsid w:val="66BFE706"/>
    <w:rsid w:val="66D060DB"/>
    <w:rsid w:val="66D22C32"/>
    <w:rsid w:val="66E55576"/>
    <w:rsid w:val="66E57B4C"/>
    <w:rsid w:val="671C48B5"/>
    <w:rsid w:val="6734C545"/>
    <w:rsid w:val="674EC7FA"/>
    <w:rsid w:val="6754E685"/>
    <w:rsid w:val="6774C5FF"/>
    <w:rsid w:val="67907A3C"/>
    <w:rsid w:val="67A23C0A"/>
    <w:rsid w:val="67E9244A"/>
    <w:rsid w:val="684E7B89"/>
    <w:rsid w:val="687A5F29"/>
    <w:rsid w:val="68914720"/>
    <w:rsid w:val="6898279F"/>
    <w:rsid w:val="68CEA987"/>
    <w:rsid w:val="68D339CF"/>
    <w:rsid w:val="68DB9A69"/>
    <w:rsid w:val="690065F2"/>
    <w:rsid w:val="6902E75E"/>
    <w:rsid w:val="6928DAFA"/>
    <w:rsid w:val="69316DEC"/>
    <w:rsid w:val="6945A541"/>
    <w:rsid w:val="695B1409"/>
    <w:rsid w:val="6973F89F"/>
    <w:rsid w:val="6988A892"/>
    <w:rsid w:val="69B3BBAC"/>
    <w:rsid w:val="69FB83DD"/>
    <w:rsid w:val="6A32A1D2"/>
    <w:rsid w:val="6A33DDB2"/>
    <w:rsid w:val="6A4735EF"/>
    <w:rsid w:val="6A5326EA"/>
    <w:rsid w:val="6A5F9403"/>
    <w:rsid w:val="6A690EFC"/>
    <w:rsid w:val="6AC1D8A6"/>
    <w:rsid w:val="6ACB836B"/>
    <w:rsid w:val="6AF3053A"/>
    <w:rsid w:val="6B3F80A7"/>
    <w:rsid w:val="6B69AB15"/>
    <w:rsid w:val="6B75EEB9"/>
    <w:rsid w:val="6B7926DD"/>
    <w:rsid w:val="6B7A4A99"/>
    <w:rsid w:val="6B81A482"/>
    <w:rsid w:val="6BA943DF"/>
    <w:rsid w:val="6BB2C56A"/>
    <w:rsid w:val="6BD513C1"/>
    <w:rsid w:val="6BD69F5D"/>
    <w:rsid w:val="6BF62B4A"/>
    <w:rsid w:val="6C3FCEA4"/>
    <w:rsid w:val="6C41DE2E"/>
    <w:rsid w:val="6C855069"/>
    <w:rsid w:val="6CD1C059"/>
    <w:rsid w:val="6CE42A1D"/>
    <w:rsid w:val="6CEB2532"/>
    <w:rsid w:val="6D057485"/>
    <w:rsid w:val="6D4A4555"/>
    <w:rsid w:val="6D4DC696"/>
    <w:rsid w:val="6D5F4258"/>
    <w:rsid w:val="6DA2BDEE"/>
    <w:rsid w:val="6DB73CD2"/>
    <w:rsid w:val="6DF6C262"/>
    <w:rsid w:val="6E0C3FA8"/>
    <w:rsid w:val="6E2919F7"/>
    <w:rsid w:val="6E91D708"/>
    <w:rsid w:val="6ED21091"/>
    <w:rsid w:val="6EEF69FB"/>
    <w:rsid w:val="6F7E2FFF"/>
    <w:rsid w:val="6FCBC8F2"/>
    <w:rsid w:val="6FFA4641"/>
    <w:rsid w:val="702A7603"/>
    <w:rsid w:val="709068B2"/>
    <w:rsid w:val="70B762D6"/>
    <w:rsid w:val="70FDE218"/>
    <w:rsid w:val="7108A2E0"/>
    <w:rsid w:val="714021C4"/>
    <w:rsid w:val="7145B35B"/>
    <w:rsid w:val="71634313"/>
    <w:rsid w:val="716F0615"/>
    <w:rsid w:val="71C7D5C8"/>
    <w:rsid w:val="71F67E93"/>
    <w:rsid w:val="72103486"/>
    <w:rsid w:val="722C3913"/>
    <w:rsid w:val="72325B8F"/>
    <w:rsid w:val="72378BE0"/>
    <w:rsid w:val="725E620F"/>
    <w:rsid w:val="727399FA"/>
    <w:rsid w:val="728F3B2B"/>
    <w:rsid w:val="729A9779"/>
    <w:rsid w:val="72D8EA3D"/>
    <w:rsid w:val="73149C29"/>
    <w:rsid w:val="7315B387"/>
    <w:rsid w:val="731FD2B3"/>
    <w:rsid w:val="7323AB9B"/>
    <w:rsid w:val="733F6161"/>
    <w:rsid w:val="734F8337"/>
    <w:rsid w:val="736566FC"/>
    <w:rsid w:val="73A7C461"/>
    <w:rsid w:val="73E6FC45"/>
    <w:rsid w:val="7411E32F"/>
    <w:rsid w:val="7414DDDD"/>
    <w:rsid w:val="742D4B02"/>
    <w:rsid w:val="74B1EC1A"/>
    <w:rsid w:val="74EA643E"/>
    <w:rsid w:val="751BC308"/>
    <w:rsid w:val="752B0873"/>
    <w:rsid w:val="754917B5"/>
    <w:rsid w:val="754CF92D"/>
    <w:rsid w:val="75AAFD9D"/>
    <w:rsid w:val="75B83622"/>
    <w:rsid w:val="75C34CAD"/>
    <w:rsid w:val="75E9742A"/>
    <w:rsid w:val="76054468"/>
    <w:rsid w:val="7610D6B1"/>
    <w:rsid w:val="76278490"/>
    <w:rsid w:val="76281EE4"/>
    <w:rsid w:val="7655253F"/>
    <w:rsid w:val="76923EB4"/>
    <w:rsid w:val="769D5D05"/>
    <w:rsid w:val="76B24C2D"/>
    <w:rsid w:val="76C61D91"/>
    <w:rsid w:val="76E702B5"/>
    <w:rsid w:val="76E8C98E"/>
    <w:rsid w:val="7709A6F7"/>
    <w:rsid w:val="770AFD03"/>
    <w:rsid w:val="774983F1"/>
    <w:rsid w:val="775422E8"/>
    <w:rsid w:val="77B5E475"/>
    <w:rsid w:val="77D159BA"/>
    <w:rsid w:val="77D23E98"/>
    <w:rsid w:val="77E77402"/>
    <w:rsid w:val="77FCCC9E"/>
    <w:rsid w:val="780F8078"/>
    <w:rsid w:val="7810C41B"/>
    <w:rsid w:val="78130BE9"/>
    <w:rsid w:val="7813B857"/>
    <w:rsid w:val="7825F1CD"/>
    <w:rsid w:val="78499FEF"/>
    <w:rsid w:val="78562AC7"/>
    <w:rsid w:val="788B0078"/>
    <w:rsid w:val="7891B1BC"/>
    <w:rsid w:val="78CBE67B"/>
    <w:rsid w:val="78E1662D"/>
    <w:rsid w:val="78E55452"/>
    <w:rsid w:val="7909EC4C"/>
    <w:rsid w:val="79447944"/>
    <w:rsid w:val="7949D287"/>
    <w:rsid w:val="795212A6"/>
    <w:rsid w:val="79624939"/>
    <w:rsid w:val="79641799"/>
    <w:rsid w:val="79843C30"/>
    <w:rsid w:val="79B735A5"/>
    <w:rsid w:val="79BAF6A8"/>
    <w:rsid w:val="79FB4C4C"/>
    <w:rsid w:val="7A0F83DE"/>
    <w:rsid w:val="7A29F18C"/>
    <w:rsid w:val="7A3DF00A"/>
    <w:rsid w:val="7A5BC279"/>
    <w:rsid w:val="7A5F740C"/>
    <w:rsid w:val="7A6F79D4"/>
    <w:rsid w:val="7A8124B3"/>
    <w:rsid w:val="7AE7CBFF"/>
    <w:rsid w:val="7B135FA8"/>
    <w:rsid w:val="7B80B7F4"/>
    <w:rsid w:val="7BA604B4"/>
    <w:rsid w:val="7BC08F10"/>
    <w:rsid w:val="7BEA7F69"/>
    <w:rsid w:val="7BFB82D5"/>
    <w:rsid w:val="7C0B4A35"/>
    <w:rsid w:val="7C11882E"/>
    <w:rsid w:val="7C15D1FF"/>
    <w:rsid w:val="7C4C98B5"/>
    <w:rsid w:val="7C50713B"/>
    <w:rsid w:val="7C515273"/>
    <w:rsid w:val="7C843531"/>
    <w:rsid w:val="7CAAD9CC"/>
    <w:rsid w:val="7CB9530A"/>
    <w:rsid w:val="7CD36EE1"/>
    <w:rsid w:val="7CD83CE3"/>
    <w:rsid w:val="7CE2F316"/>
    <w:rsid w:val="7D781192"/>
    <w:rsid w:val="7D8D8617"/>
    <w:rsid w:val="7DCF7572"/>
    <w:rsid w:val="7DE61A7E"/>
    <w:rsid w:val="7E12C151"/>
    <w:rsid w:val="7E388F09"/>
    <w:rsid w:val="7E84D9A0"/>
    <w:rsid w:val="7E986E64"/>
    <w:rsid w:val="7EAB242F"/>
    <w:rsid w:val="7EF74FC5"/>
    <w:rsid w:val="7F26A236"/>
    <w:rsid w:val="7F48DC8A"/>
    <w:rsid w:val="7F77EBDF"/>
    <w:rsid w:val="7F7F5301"/>
    <w:rsid w:val="7F997E80"/>
    <w:rsid w:val="7F9C8825"/>
    <w:rsid w:val="7F9DDC4F"/>
    <w:rsid w:val="7FC984F5"/>
    <w:rsid w:val="7FF0F4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2B73"/>
  <w15:chartTrackingRefBased/>
  <w15:docId w15:val="{117A3F20-E1FD-471C-A8B0-44FC7D19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emibold" w:eastAsiaTheme="minorHAnsi" w:hAnsi="Segoe UI Semibold" w:cstheme="majorBidi"/>
        <w:sz w:val="32"/>
        <w:szCs w:val="3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F9"/>
    <w:pPr>
      <w:suppressAutoHyphens/>
      <w:spacing w:before="120" w:after="240" w:line="240" w:lineRule="atLeast"/>
    </w:pPr>
    <w:rPr>
      <w:rFonts w:asciiTheme="minorHAnsi" w:hAnsiTheme="minorHAnsi"/>
      <w:color w:val="313E48" w:themeColor="text1"/>
      <w:sz w:val="22"/>
    </w:rPr>
  </w:style>
  <w:style w:type="paragraph" w:styleId="Heading1">
    <w:name w:val="heading 1"/>
    <w:next w:val="Heading2"/>
    <w:link w:val="Heading1Char"/>
    <w:autoRedefine/>
    <w:uiPriority w:val="9"/>
    <w:qFormat/>
    <w:rsid w:val="00117639"/>
    <w:pPr>
      <w:keepNext/>
      <w:keepLines/>
      <w:suppressAutoHyphens/>
      <w:spacing w:after="120" w:line="400" w:lineRule="atLeast"/>
      <w:outlineLvl w:val="0"/>
    </w:pPr>
    <w:rPr>
      <w:rFonts w:asciiTheme="majorHAnsi" w:eastAsiaTheme="majorEastAsia" w:hAnsiTheme="majorHAnsi"/>
      <w:b/>
      <w:color w:val="00837C" w:themeColor="accent1"/>
      <w:sz w:val="40"/>
    </w:rPr>
  </w:style>
  <w:style w:type="paragraph" w:styleId="Heading2">
    <w:name w:val="heading 2"/>
    <w:basedOn w:val="Normal"/>
    <w:next w:val="Normal"/>
    <w:link w:val="Heading2Char"/>
    <w:autoRedefine/>
    <w:uiPriority w:val="9"/>
    <w:unhideWhenUsed/>
    <w:qFormat/>
    <w:rsid w:val="00A909F2"/>
    <w:pPr>
      <w:keepNext/>
      <w:keepLines/>
      <w:spacing w:before="240" w:after="120" w:line="400" w:lineRule="exact"/>
      <w:outlineLvl w:val="1"/>
    </w:pPr>
    <w:rPr>
      <w:rFonts w:eastAsiaTheme="majorEastAsia"/>
      <w:b/>
      <w:bCs/>
      <w:color w:val="00837C" w:themeColor="accent1"/>
      <w:sz w:val="40"/>
      <w:szCs w:val="26"/>
    </w:rPr>
  </w:style>
  <w:style w:type="paragraph" w:styleId="Heading3">
    <w:name w:val="heading 3"/>
    <w:next w:val="Heading4"/>
    <w:link w:val="Heading3Char"/>
    <w:autoRedefine/>
    <w:uiPriority w:val="9"/>
    <w:unhideWhenUsed/>
    <w:qFormat/>
    <w:rsid w:val="00F3481F"/>
    <w:pPr>
      <w:keepNext/>
      <w:keepLines/>
      <w:spacing w:before="120" w:after="60" w:line="400" w:lineRule="exact"/>
      <w:outlineLvl w:val="2"/>
    </w:pPr>
    <w:rPr>
      <w:rFonts w:asciiTheme="majorHAnsi" w:eastAsiaTheme="majorEastAsia" w:hAnsiTheme="majorHAnsi"/>
      <w:b/>
      <w:i/>
      <w:iCs/>
      <w:color w:val="00837C"/>
      <w:szCs w:val="24"/>
      <w:lang w:val="en-GB"/>
    </w:rPr>
  </w:style>
  <w:style w:type="paragraph" w:styleId="Heading4">
    <w:name w:val="heading 4"/>
    <w:next w:val="Heading5"/>
    <w:link w:val="Heading4Char"/>
    <w:autoRedefine/>
    <w:uiPriority w:val="9"/>
    <w:unhideWhenUsed/>
    <w:qFormat/>
    <w:rsid w:val="003A3BC7"/>
    <w:pPr>
      <w:keepNext/>
      <w:keepLines/>
      <w:spacing w:before="240" w:after="120" w:line="240" w:lineRule="atLeast"/>
      <w:outlineLvl w:val="3"/>
    </w:pPr>
    <w:rPr>
      <w:rFonts w:asciiTheme="majorHAnsi" w:eastAsiaTheme="majorEastAsia" w:hAnsiTheme="majorHAnsi"/>
      <w:b/>
      <w:color w:val="00837C" w:themeColor="accent1"/>
      <w:sz w:val="28"/>
      <w:lang w:val="en-GB"/>
    </w:rPr>
  </w:style>
  <w:style w:type="paragraph" w:styleId="Heading5">
    <w:name w:val="heading 5"/>
    <w:next w:val="BodyText"/>
    <w:link w:val="Heading5Char"/>
    <w:autoRedefine/>
    <w:uiPriority w:val="9"/>
    <w:unhideWhenUsed/>
    <w:qFormat/>
    <w:rsid w:val="00EC2C0F"/>
    <w:pPr>
      <w:keepNext/>
      <w:keepLines/>
      <w:suppressAutoHyphens/>
      <w:spacing w:before="240" w:after="60" w:line="200" w:lineRule="atLeast"/>
      <w:outlineLvl w:val="4"/>
    </w:pPr>
    <w:rPr>
      <w:rFonts w:ascii="Segoe UI Symbol" w:eastAsiaTheme="majorEastAsia" w:hAnsi="Segoe UI Symbol" w:cs="Segoe UI Symbol"/>
      <w:b/>
      <w:bCs/>
      <w:iCs/>
      <w:color w:val="313E48"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481F"/>
    <w:rPr>
      <w:rFonts w:asciiTheme="majorHAnsi" w:eastAsiaTheme="majorEastAsia" w:hAnsiTheme="majorHAnsi"/>
      <w:b/>
      <w:i/>
      <w:iCs/>
      <w:color w:val="00837C"/>
      <w:szCs w:val="24"/>
      <w:lang w:val="en-GB"/>
    </w:rPr>
  </w:style>
  <w:style w:type="character" w:customStyle="1" w:styleId="Heading5Char">
    <w:name w:val="Heading 5 Char"/>
    <w:basedOn w:val="DefaultParagraphFont"/>
    <w:link w:val="Heading5"/>
    <w:uiPriority w:val="9"/>
    <w:rsid w:val="00EC2C0F"/>
    <w:rPr>
      <w:rFonts w:ascii="Segoe UI Symbol" w:eastAsiaTheme="majorEastAsia" w:hAnsi="Segoe UI Symbol" w:cs="Segoe UI Symbol"/>
      <w:b/>
      <w:bCs/>
      <w:iCs/>
      <w:color w:val="313E48" w:themeColor="text1"/>
      <w:sz w:val="22"/>
      <w:szCs w:val="22"/>
    </w:rPr>
  </w:style>
  <w:style w:type="character" w:customStyle="1" w:styleId="Heading4Char">
    <w:name w:val="Heading 4 Char"/>
    <w:basedOn w:val="DefaultParagraphFont"/>
    <w:link w:val="Heading4"/>
    <w:uiPriority w:val="9"/>
    <w:rsid w:val="003A3BC7"/>
    <w:rPr>
      <w:rFonts w:asciiTheme="majorHAnsi" w:eastAsiaTheme="majorEastAsia" w:hAnsiTheme="majorHAnsi"/>
      <w:b/>
      <w:color w:val="00837C" w:themeColor="accent1"/>
      <w:sz w:val="28"/>
      <w:lang w:val="en-GB"/>
    </w:rPr>
  </w:style>
  <w:style w:type="paragraph" w:styleId="BodyText">
    <w:name w:val="Body Text"/>
    <w:basedOn w:val="Normal"/>
    <w:link w:val="BodyTextChar"/>
    <w:autoRedefine/>
    <w:uiPriority w:val="99"/>
    <w:unhideWhenUsed/>
    <w:qFormat/>
    <w:rsid w:val="007353BA"/>
    <w:pPr>
      <w:spacing w:before="60"/>
    </w:pPr>
    <w:rPr>
      <w:rFonts w:ascii="Segoe UI Symbol" w:hAnsi="Segoe UI Symbol" w:cs="Segoe UI Symbol"/>
    </w:rPr>
  </w:style>
  <w:style w:type="character" w:customStyle="1" w:styleId="BodyTextChar">
    <w:name w:val="Body Text Char"/>
    <w:basedOn w:val="DefaultParagraphFont"/>
    <w:link w:val="BodyText"/>
    <w:uiPriority w:val="99"/>
    <w:rsid w:val="007353BA"/>
    <w:rPr>
      <w:rFonts w:ascii="Segoe UI Symbol" w:hAnsi="Segoe UI Symbol" w:cs="Segoe UI Symbol"/>
      <w:color w:val="313E48" w:themeColor="text1"/>
      <w:sz w:val="22"/>
    </w:rPr>
  </w:style>
  <w:style w:type="character" w:customStyle="1" w:styleId="Heading1Char">
    <w:name w:val="Heading 1 Char"/>
    <w:basedOn w:val="DefaultParagraphFont"/>
    <w:link w:val="Heading1"/>
    <w:uiPriority w:val="9"/>
    <w:rsid w:val="00117639"/>
    <w:rPr>
      <w:rFonts w:asciiTheme="majorHAnsi" w:eastAsiaTheme="majorEastAsia" w:hAnsiTheme="majorHAnsi"/>
      <w:b/>
      <w:color w:val="00837C" w:themeColor="accent1"/>
      <w:sz w:val="40"/>
    </w:rPr>
  </w:style>
  <w:style w:type="character" w:customStyle="1" w:styleId="Heading2Char">
    <w:name w:val="Heading 2 Char"/>
    <w:basedOn w:val="DefaultParagraphFont"/>
    <w:link w:val="Heading2"/>
    <w:uiPriority w:val="9"/>
    <w:rsid w:val="00A909F2"/>
    <w:rPr>
      <w:rFonts w:asciiTheme="minorHAnsi" w:eastAsiaTheme="majorEastAsia" w:hAnsiTheme="minorHAnsi"/>
      <w:b/>
      <w:bCs/>
      <w:color w:val="00837C" w:themeColor="accent1"/>
      <w:sz w:val="40"/>
      <w:szCs w:val="26"/>
    </w:rPr>
  </w:style>
  <w:style w:type="paragraph" w:styleId="Header">
    <w:name w:val="header"/>
    <w:link w:val="HeaderChar"/>
    <w:uiPriority w:val="99"/>
    <w:unhideWhenUsed/>
    <w:rsid w:val="00CF1E8D"/>
    <w:pPr>
      <w:tabs>
        <w:tab w:val="center" w:pos="4513"/>
        <w:tab w:val="right" w:pos="9026"/>
      </w:tabs>
      <w:spacing w:after="0" w:line="240" w:lineRule="auto"/>
      <w:jc w:val="center"/>
    </w:pPr>
    <w:rPr>
      <w:rFonts w:asciiTheme="minorHAnsi" w:hAnsiTheme="minorHAnsi"/>
      <w:color w:val="313E48" w:themeColor="text1"/>
      <w:sz w:val="16"/>
    </w:rPr>
  </w:style>
  <w:style w:type="character" w:customStyle="1" w:styleId="HeaderChar">
    <w:name w:val="Header Char"/>
    <w:basedOn w:val="DefaultParagraphFont"/>
    <w:link w:val="Header"/>
    <w:uiPriority w:val="99"/>
    <w:rsid w:val="00CF1E8D"/>
    <w:rPr>
      <w:rFonts w:asciiTheme="minorHAnsi" w:hAnsiTheme="minorHAnsi"/>
      <w:color w:val="313E48" w:themeColor="text1"/>
      <w:sz w:val="16"/>
    </w:rPr>
  </w:style>
  <w:style w:type="paragraph" w:styleId="Footer">
    <w:name w:val="footer"/>
    <w:basedOn w:val="Normal"/>
    <w:link w:val="FooterChar"/>
    <w:uiPriority w:val="99"/>
    <w:unhideWhenUsed/>
    <w:rsid w:val="00833264"/>
    <w:pPr>
      <w:tabs>
        <w:tab w:val="center" w:pos="4513"/>
        <w:tab w:val="right" w:pos="9026"/>
      </w:tabs>
      <w:spacing w:after="0" w:line="240" w:lineRule="auto"/>
    </w:pPr>
    <w:rPr>
      <w:color w:val="FFFFFF" w:themeColor="background1"/>
      <w:sz w:val="16"/>
    </w:rPr>
  </w:style>
  <w:style w:type="character" w:customStyle="1" w:styleId="FooterChar">
    <w:name w:val="Footer Char"/>
    <w:basedOn w:val="DefaultParagraphFont"/>
    <w:link w:val="Footer"/>
    <w:uiPriority w:val="99"/>
    <w:rsid w:val="00833264"/>
    <w:rPr>
      <w:rFonts w:asciiTheme="minorHAnsi" w:hAnsiTheme="minorHAnsi"/>
      <w:color w:val="FFFFFF" w:themeColor="background1"/>
      <w:sz w:val="16"/>
    </w:rPr>
  </w:style>
  <w:style w:type="character" w:styleId="PlaceholderText">
    <w:name w:val="Placeholder Text"/>
    <w:basedOn w:val="DefaultParagraphFont"/>
    <w:uiPriority w:val="99"/>
    <w:semiHidden/>
    <w:rsid w:val="0088604C"/>
    <w:rPr>
      <w:color w:val="808080"/>
    </w:rPr>
  </w:style>
  <w:style w:type="paragraph" w:customStyle="1" w:styleId="Listparagraph-bullets-secondlevel">
    <w:name w:val="List paragraph - bullets - second level"/>
    <w:basedOn w:val="Normal"/>
    <w:autoRedefine/>
    <w:qFormat/>
    <w:rsid w:val="00EC34CF"/>
    <w:pPr>
      <w:keepNext/>
      <w:keepLines/>
      <w:tabs>
        <w:tab w:val="left" w:pos="567"/>
      </w:tabs>
      <w:spacing w:after="120"/>
    </w:pPr>
    <w:rPr>
      <w:rFonts w:eastAsia="Calibri" w:cstheme="minorHAnsi"/>
      <w:i/>
      <w:iCs/>
    </w:rPr>
  </w:style>
  <w:style w:type="numbering" w:customStyle="1" w:styleId="DFAT">
    <w:name w:val="DFAT"/>
    <w:uiPriority w:val="99"/>
    <w:rsid w:val="008B1F0A"/>
    <w:pPr>
      <w:numPr>
        <w:numId w:val="8"/>
      </w:numPr>
    </w:pPr>
  </w:style>
  <w:style w:type="paragraph" w:styleId="ListNumber">
    <w:name w:val="List Number"/>
    <w:basedOn w:val="Normal"/>
    <w:autoRedefine/>
    <w:uiPriority w:val="99"/>
    <w:unhideWhenUsed/>
    <w:qFormat/>
    <w:rsid w:val="00C96C19"/>
    <w:pPr>
      <w:numPr>
        <w:numId w:val="7"/>
      </w:numPr>
      <w:contextualSpacing/>
    </w:pPr>
  </w:style>
  <w:style w:type="numbering" w:customStyle="1" w:styleId="DFATnumberlist">
    <w:name w:val="DFAT number list"/>
    <w:uiPriority w:val="99"/>
    <w:rsid w:val="00C96C19"/>
    <w:pPr>
      <w:numPr>
        <w:numId w:val="9"/>
      </w:numPr>
    </w:pPr>
  </w:style>
  <w:style w:type="character" w:styleId="IntenseEmphasis">
    <w:name w:val="Intense Emphasis"/>
    <w:basedOn w:val="DefaultParagraphFont"/>
    <w:uiPriority w:val="21"/>
    <w:qFormat/>
    <w:rsid w:val="008177E8"/>
    <w:rPr>
      <w:b/>
      <w:i/>
      <w:iCs/>
      <w:color w:val="00837C" w:themeColor="accent1"/>
    </w:rPr>
  </w:style>
  <w:style w:type="paragraph" w:styleId="Caption">
    <w:name w:val="caption"/>
    <w:basedOn w:val="BodyText"/>
    <w:next w:val="Normal"/>
    <w:autoRedefine/>
    <w:uiPriority w:val="35"/>
    <w:unhideWhenUsed/>
    <w:qFormat/>
    <w:rsid w:val="0074439A"/>
    <w:pPr>
      <w:spacing w:before="0" w:after="200" w:line="240" w:lineRule="auto"/>
    </w:pPr>
    <w:rPr>
      <w:i/>
      <w:iCs/>
      <w:color w:val="626357" w:themeColor="background2" w:themeShade="80"/>
      <w:sz w:val="18"/>
      <w:szCs w:val="18"/>
    </w:rPr>
  </w:style>
  <w:style w:type="paragraph" w:customStyle="1" w:styleId="Tabletext">
    <w:name w:val="Table text"/>
    <w:basedOn w:val="Normal"/>
    <w:autoRedefine/>
    <w:qFormat/>
    <w:rsid w:val="00FE7ED5"/>
    <w:pPr>
      <w:suppressAutoHyphens w:val="0"/>
      <w:spacing w:before="0" w:after="0" w:line="240" w:lineRule="auto"/>
    </w:pPr>
    <w:rPr>
      <w:rFonts w:eastAsia="Times New Roman" w:cs="Times New Roman"/>
      <w:sz w:val="20"/>
      <w:szCs w:val="20"/>
    </w:rPr>
  </w:style>
  <w:style w:type="paragraph" w:customStyle="1" w:styleId="Tablerowcolumnheading">
    <w:name w:val="Table row/column heading"/>
    <w:basedOn w:val="Normal"/>
    <w:next w:val="Normal"/>
    <w:autoRedefine/>
    <w:qFormat/>
    <w:rsid w:val="00833264"/>
    <w:pPr>
      <w:suppressAutoHyphens w:val="0"/>
      <w:spacing w:before="0" w:after="0" w:line="240" w:lineRule="auto"/>
      <w:jc w:val="center"/>
    </w:pPr>
    <w:rPr>
      <w:rFonts w:eastAsia="Times New Roman" w:cs="Times New Roman"/>
      <w:bCs/>
      <w:sz w:val="20"/>
      <w:szCs w:val="20"/>
    </w:rPr>
  </w:style>
  <w:style w:type="paragraph" w:styleId="FootnoteText">
    <w:name w:val="footnote text"/>
    <w:basedOn w:val="Normal"/>
    <w:link w:val="FootnoteTextChar"/>
    <w:uiPriority w:val="99"/>
    <w:semiHidden/>
    <w:unhideWhenUsed/>
    <w:rsid w:val="002A6DB8"/>
    <w:pPr>
      <w:suppressAutoHyphens w:val="0"/>
      <w:spacing w:before="0" w:after="0" w:line="240" w:lineRule="auto"/>
    </w:pPr>
    <w:rPr>
      <w:rFonts w:ascii="Segoe UI" w:hAnsi="Segoe UI" w:cstheme="minorBidi"/>
      <w:color w:val="auto"/>
      <w:sz w:val="20"/>
      <w:szCs w:val="20"/>
    </w:rPr>
  </w:style>
  <w:style w:type="character" w:customStyle="1" w:styleId="FootnoteTextChar">
    <w:name w:val="Footnote Text Char"/>
    <w:basedOn w:val="DefaultParagraphFont"/>
    <w:link w:val="FootnoteText"/>
    <w:uiPriority w:val="99"/>
    <w:semiHidden/>
    <w:rsid w:val="002A6DB8"/>
    <w:rPr>
      <w:rFonts w:ascii="Segoe UI" w:hAnsi="Segoe UI" w:cstheme="minorBidi"/>
      <w:sz w:val="20"/>
      <w:szCs w:val="20"/>
    </w:rPr>
  </w:style>
  <w:style w:type="character" w:styleId="FootnoteReference">
    <w:name w:val="footnote reference"/>
    <w:basedOn w:val="DefaultParagraphFont"/>
    <w:uiPriority w:val="99"/>
    <w:semiHidden/>
    <w:unhideWhenUsed/>
    <w:rsid w:val="002A6DB8"/>
    <w:rPr>
      <w:vertAlign w:val="superscript"/>
    </w:rPr>
  </w:style>
  <w:style w:type="paragraph" w:customStyle="1" w:styleId="Tablefigureheading">
    <w:name w:val="Table/figure heading"/>
    <w:basedOn w:val="Normal"/>
    <w:next w:val="Normal"/>
    <w:autoRedefine/>
    <w:qFormat/>
    <w:rsid w:val="0074439A"/>
    <w:pPr>
      <w:keepNext/>
      <w:suppressAutoHyphens w:val="0"/>
      <w:spacing w:before="360" w:after="60" w:line="240" w:lineRule="auto"/>
    </w:pPr>
    <w:rPr>
      <w:rFonts w:cstheme="minorBidi"/>
      <w:color w:val="626357" w:themeColor="background2" w:themeShade="80"/>
      <w:sz w:val="20"/>
      <w:szCs w:val="22"/>
    </w:rPr>
  </w:style>
  <w:style w:type="paragraph" w:customStyle="1" w:styleId="Tabletextcentred">
    <w:name w:val="Table text centred"/>
    <w:basedOn w:val="Tabletext"/>
    <w:next w:val="Normal"/>
    <w:autoRedefine/>
    <w:qFormat/>
    <w:rsid w:val="002A6DB8"/>
    <w:pPr>
      <w:jc w:val="center"/>
    </w:pPr>
  </w:style>
  <w:style w:type="paragraph" w:customStyle="1" w:styleId="Tablerowcolumnheadingcentred">
    <w:name w:val="Table row/column heading centred"/>
    <w:basedOn w:val="Tablerowcolumnheading"/>
    <w:next w:val="Normal"/>
    <w:autoRedefine/>
    <w:qFormat/>
    <w:rsid w:val="002A6DB8"/>
    <w:rPr>
      <w:bCs w:val="0"/>
    </w:rPr>
  </w:style>
  <w:style w:type="paragraph" w:customStyle="1" w:styleId="Sourcenote">
    <w:name w:val="Source / note"/>
    <w:basedOn w:val="Normal"/>
    <w:autoRedefine/>
    <w:qFormat/>
    <w:rsid w:val="0074439A"/>
    <w:pPr>
      <w:suppressAutoHyphens w:val="0"/>
      <w:spacing w:before="40" w:line="240" w:lineRule="auto"/>
    </w:pPr>
    <w:rPr>
      <w:rFonts w:eastAsia="PMingLiU" w:cs="Mangal"/>
      <w:color w:val="626357" w:themeColor="background2" w:themeShade="80"/>
      <w:sz w:val="20"/>
      <w:szCs w:val="20"/>
      <w:lang w:eastAsia="zh-TW"/>
    </w:rPr>
  </w:style>
  <w:style w:type="table" w:styleId="PlainTable1">
    <w:name w:val="Plain Table 1"/>
    <w:basedOn w:val="TableNormal"/>
    <w:uiPriority w:val="41"/>
    <w:rsid w:val="002A6DB8"/>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eckboxemptybulletpoint">
    <w:name w:val="Check box empty bullet point"/>
    <w:basedOn w:val="Tabletext"/>
    <w:autoRedefine/>
    <w:qFormat/>
    <w:rsid w:val="00A909F2"/>
    <w:pPr>
      <w:numPr>
        <w:numId w:val="21"/>
      </w:numPr>
    </w:pPr>
    <w:rPr>
      <w:rFonts w:eastAsiaTheme="majorEastAsia" w:cstheme="minorHAnsi"/>
      <w:sz w:val="22"/>
      <w:szCs w:val="22"/>
    </w:rPr>
  </w:style>
  <w:style w:type="paragraph" w:customStyle="1" w:styleId="Listparagraphbullets">
    <w:name w:val="List paragraph—bullets"/>
    <w:basedOn w:val="Normal"/>
    <w:autoRedefine/>
    <w:qFormat/>
    <w:rsid w:val="00A92EC3"/>
    <w:pPr>
      <w:pBdr>
        <w:top w:val="single" w:sz="18" w:space="5" w:color="00837C" w:themeColor="accent1"/>
        <w:left w:val="single" w:sz="18" w:space="5" w:color="00837C" w:themeColor="accent1"/>
        <w:bottom w:val="single" w:sz="18" w:space="5" w:color="00837C" w:themeColor="accent1"/>
        <w:right w:val="single" w:sz="18" w:space="5" w:color="00837C" w:themeColor="accent1"/>
      </w:pBdr>
      <w:spacing w:before="60" w:after="0"/>
      <w:ind w:left="210"/>
    </w:pPr>
    <w:rPr>
      <w:rFonts w:cstheme="minorHAnsi"/>
      <w:szCs w:val="22"/>
    </w:rPr>
  </w:style>
  <w:style w:type="paragraph" w:styleId="ListParagraph">
    <w:name w:val="List Paragraph"/>
    <w:basedOn w:val="Normal"/>
    <w:uiPriority w:val="34"/>
    <w:qFormat/>
    <w:rsid w:val="002C4A32"/>
    <w:pPr>
      <w:ind w:left="720"/>
      <w:contextualSpacing/>
    </w:pPr>
  </w:style>
  <w:style w:type="character" w:customStyle="1" w:styleId="Classification">
    <w:name w:val="Classification"/>
    <w:basedOn w:val="DefaultParagraphFont"/>
    <w:uiPriority w:val="1"/>
    <w:rsid w:val="00C466D1"/>
    <w:rPr>
      <w:color w:val="FFFFFF" w:themeColor="background1"/>
    </w:rPr>
  </w:style>
  <w:style w:type="paragraph" w:customStyle="1" w:styleId="Emphasis1">
    <w:name w:val="Emphasis1"/>
    <w:basedOn w:val="BodyText"/>
    <w:autoRedefine/>
    <w:qFormat/>
    <w:rsid w:val="00DB5281"/>
    <w:rPr>
      <w:i/>
    </w:rPr>
  </w:style>
  <w:style w:type="table" w:styleId="TableGrid">
    <w:name w:val="Table Grid"/>
    <w:basedOn w:val="TableNormal"/>
    <w:uiPriority w:val="39"/>
    <w:rsid w:val="00C8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833264"/>
    <w:pPr>
      <w:spacing w:after="0" w:line="240" w:lineRule="auto"/>
    </w:pPr>
    <w:tblPr>
      <w:tblStyleRowBandSize w:val="1"/>
      <w:tblStyleColBandSize w:val="1"/>
      <w:tblBorders>
        <w:top w:val="single" w:sz="2" w:space="0" w:color="87BC79" w:themeColor="accent2" w:themeTint="99"/>
        <w:bottom w:val="single" w:sz="2" w:space="0" w:color="87BC79" w:themeColor="accent2" w:themeTint="99"/>
        <w:insideH w:val="single" w:sz="2" w:space="0" w:color="87BC79" w:themeColor="accent2" w:themeTint="99"/>
        <w:insideV w:val="single" w:sz="2" w:space="0" w:color="87BC79" w:themeColor="accent2" w:themeTint="99"/>
      </w:tblBorders>
    </w:tblPr>
    <w:tblStylePr w:type="firstRow">
      <w:rPr>
        <w:b/>
        <w:bCs/>
      </w:rPr>
      <w:tblPr/>
      <w:tcPr>
        <w:tcBorders>
          <w:top w:val="nil"/>
          <w:bottom w:val="single" w:sz="12" w:space="0" w:color="87BC79" w:themeColor="accent2" w:themeTint="99"/>
          <w:insideH w:val="nil"/>
          <w:insideV w:val="nil"/>
        </w:tcBorders>
        <w:shd w:val="clear" w:color="auto" w:fill="FFFFFF" w:themeFill="background1"/>
      </w:tcPr>
    </w:tblStylePr>
    <w:tblStylePr w:type="lastRow">
      <w:rPr>
        <w:b/>
        <w:bCs/>
      </w:rPr>
      <w:tblPr/>
      <w:tcPr>
        <w:tcBorders>
          <w:top w:val="double" w:sz="2" w:space="0" w:color="87B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D2" w:themeFill="accent2" w:themeFillTint="33"/>
      </w:tcPr>
    </w:tblStylePr>
    <w:tblStylePr w:type="band1Horz">
      <w:tblPr/>
      <w:tcPr>
        <w:shd w:val="clear" w:color="auto" w:fill="D6E8D2" w:themeFill="accent2" w:themeFillTint="33"/>
      </w:tcPr>
    </w:tblStylePr>
  </w:style>
  <w:style w:type="table" w:customStyle="1" w:styleId="blendbandedtable">
    <w:name w:val="blend banded table"/>
    <w:basedOn w:val="TableNormal"/>
    <w:uiPriority w:val="99"/>
    <w:rsid w:val="00360D39"/>
    <w:pPr>
      <w:spacing w:after="0" w:line="240" w:lineRule="auto"/>
    </w:pPr>
    <w:tblPr>
      <w:tblStyleRowBandSize w:val="1"/>
      <w:tblBorders>
        <w:top w:val="single" w:sz="4" w:space="0" w:color="00837C" w:themeColor="accent1"/>
        <w:left w:val="single" w:sz="4" w:space="0" w:color="00837C" w:themeColor="accent1"/>
        <w:bottom w:val="single" w:sz="4" w:space="0" w:color="00837C" w:themeColor="accent1"/>
        <w:right w:val="single" w:sz="4" w:space="0" w:color="00837C" w:themeColor="accent1"/>
        <w:insideH w:val="single" w:sz="4" w:space="0" w:color="00837C" w:themeColor="accent1"/>
        <w:insideV w:val="single" w:sz="4" w:space="0" w:color="00837C" w:themeColor="accent1"/>
      </w:tblBorders>
    </w:tblPr>
    <w:tcPr>
      <w:shd w:val="clear" w:color="auto" w:fill="auto"/>
    </w:tcPr>
    <w:tblStylePr w:type="band2Horz">
      <w:tblPr/>
      <w:tcPr>
        <w:shd w:val="clear" w:color="auto" w:fill="D6E8D2" w:themeFill="accent2" w:themeFillTint="33"/>
      </w:tcPr>
    </w:tblStylePr>
  </w:style>
  <w:style w:type="table" w:styleId="GridTable1Light-Accent6">
    <w:name w:val="Grid Table 1 Light Accent 6"/>
    <w:basedOn w:val="TableNormal"/>
    <w:uiPriority w:val="46"/>
    <w:rsid w:val="00360D39"/>
    <w:pPr>
      <w:spacing w:after="0" w:line="240" w:lineRule="auto"/>
    </w:pPr>
    <w:tblPr>
      <w:tblStyleRowBandSize w:val="1"/>
      <w:tblStyleColBandSize w:val="1"/>
      <w:tblBorders>
        <w:top w:val="single" w:sz="4" w:space="0" w:color="A3C6AC" w:themeColor="accent6" w:themeTint="66"/>
        <w:left w:val="single" w:sz="4" w:space="0" w:color="A3C6AC" w:themeColor="accent6" w:themeTint="66"/>
        <w:bottom w:val="single" w:sz="4" w:space="0" w:color="A3C6AC" w:themeColor="accent6" w:themeTint="66"/>
        <w:right w:val="single" w:sz="4" w:space="0" w:color="A3C6AC" w:themeColor="accent6" w:themeTint="66"/>
        <w:insideH w:val="single" w:sz="4" w:space="0" w:color="A3C6AC" w:themeColor="accent6" w:themeTint="66"/>
        <w:insideV w:val="single" w:sz="4" w:space="0" w:color="A3C6AC" w:themeColor="accent6" w:themeTint="66"/>
      </w:tblBorders>
    </w:tblPr>
    <w:tblStylePr w:type="firstRow">
      <w:rPr>
        <w:b/>
        <w:bCs/>
      </w:rPr>
      <w:tblPr/>
      <w:tcPr>
        <w:tcBorders>
          <w:bottom w:val="single" w:sz="12" w:space="0" w:color="76AA82" w:themeColor="accent6" w:themeTint="99"/>
        </w:tcBorders>
      </w:tcPr>
    </w:tblStylePr>
    <w:tblStylePr w:type="lastRow">
      <w:rPr>
        <w:b/>
        <w:bCs/>
      </w:rPr>
      <w:tblPr/>
      <w:tcPr>
        <w:tcBorders>
          <w:top w:val="double" w:sz="2" w:space="0" w:color="76AA82" w:themeColor="accent6" w:themeTint="99"/>
        </w:tcBorders>
      </w:tcPr>
    </w:tblStylePr>
    <w:tblStylePr w:type="firstCol">
      <w:rPr>
        <w:b/>
        <w:bCs/>
      </w:rPr>
    </w:tblStylePr>
    <w:tblStylePr w:type="lastCol">
      <w:rPr>
        <w:b/>
        <w:bCs/>
      </w:rPr>
    </w:tblStylePr>
  </w:style>
  <w:style w:type="paragraph" w:customStyle="1" w:styleId="Highlightbox">
    <w:name w:val="Highlight box"/>
    <w:basedOn w:val="Normal"/>
    <w:link w:val="HighlightboxChar"/>
    <w:qFormat/>
    <w:rsid w:val="00EE41B3"/>
    <w:pPr>
      <w:pBdr>
        <w:top w:val="double" w:sz="4" w:space="6" w:color="065157"/>
        <w:left w:val="double" w:sz="4" w:space="6" w:color="065157"/>
        <w:bottom w:val="double" w:sz="4" w:space="6" w:color="065157"/>
        <w:right w:val="double" w:sz="4" w:space="6" w:color="065157"/>
      </w:pBdr>
      <w:shd w:val="clear" w:color="auto" w:fill="CDDCDD"/>
      <w:spacing w:line="360" w:lineRule="auto"/>
    </w:pPr>
    <w:rPr>
      <w:rFonts w:ascii="Calibri" w:hAnsi="Calibri"/>
      <w:b/>
      <w:sz w:val="24"/>
    </w:rPr>
  </w:style>
  <w:style w:type="character" w:customStyle="1" w:styleId="HighlightboxChar">
    <w:name w:val="Highlight box Char"/>
    <w:basedOn w:val="DefaultParagraphFont"/>
    <w:link w:val="Highlightbox"/>
    <w:rsid w:val="00EE41B3"/>
    <w:rPr>
      <w:rFonts w:ascii="Calibri" w:hAnsi="Calibri"/>
      <w:b/>
      <w:color w:val="313E48" w:themeColor="text1"/>
      <w:sz w:val="24"/>
      <w:shd w:val="clear" w:color="auto" w:fill="CDDCDD"/>
    </w:rPr>
  </w:style>
  <w:style w:type="paragraph" w:customStyle="1" w:styleId="Boxheading">
    <w:name w:val="Box heading"/>
    <w:basedOn w:val="Heading2"/>
    <w:next w:val="Normal"/>
    <w:link w:val="BoxheadingChar"/>
    <w:qFormat/>
    <w:rsid w:val="00EE41B3"/>
    <w:pPr>
      <w:pBdr>
        <w:top w:val="single" w:sz="12" w:space="6" w:color="00837C" w:themeColor="accent1"/>
        <w:left w:val="single" w:sz="12" w:space="6" w:color="00837C" w:themeColor="accent1"/>
        <w:bottom w:val="single" w:sz="12" w:space="6" w:color="00837C" w:themeColor="accent1"/>
        <w:right w:val="single" w:sz="12" w:space="6" w:color="00837C" w:themeColor="accent1"/>
      </w:pBdr>
    </w:pPr>
    <w:rPr>
      <w:rFonts w:ascii="Calibri" w:hAnsi="Calibri"/>
      <w:sz w:val="36"/>
    </w:rPr>
  </w:style>
  <w:style w:type="character" w:customStyle="1" w:styleId="BoxheadingChar">
    <w:name w:val="Box heading Char"/>
    <w:basedOn w:val="Heading2Char"/>
    <w:link w:val="Boxheading"/>
    <w:rsid w:val="00EE41B3"/>
    <w:rPr>
      <w:rFonts w:ascii="Calibri" w:eastAsiaTheme="majorEastAsia" w:hAnsi="Calibri"/>
      <w:b/>
      <w:bCs/>
      <w:color w:val="00837C" w:themeColor="accent1"/>
      <w:sz w:val="36"/>
      <w:szCs w:val="26"/>
    </w:rPr>
  </w:style>
  <w:style w:type="paragraph" w:styleId="Title">
    <w:name w:val="Title"/>
    <w:basedOn w:val="Normal"/>
    <w:next w:val="Normal"/>
    <w:link w:val="TitleChar"/>
    <w:uiPriority w:val="10"/>
    <w:qFormat/>
    <w:rsid w:val="005D1C0C"/>
    <w:pPr>
      <w:spacing w:before="0" w:after="0" w:line="240" w:lineRule="auto"/>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5D1C0C"/>
    <w:rPr>
      <w:rFonts w:asciiTheme="majorHAnsi" w:eastAsiaTheme="majorEastAsia" w:hAnsiTheme="majorHAnsi"/>
      <w:spacing w:val="-10"/>
      <w:kern w:val="28"/>
      <w:sz w:val="56"/>
      <w:szCs w:val="56"/>
    </w:rPr>
  </w:style>
  <w:style w:type="character" w:styleId="IntenseReference">
    <w:name w:val="Intense Reference"/>
    <w:basedOn w:val="DefaultParagraphFont"/>
    <w:uiPriority w:val="32"/>
    <w:qFormat/>
    <w:rsid w:val="008B4DDF"/>
    <w:rPr>
      <w:b/>
      <w:bCs/>
      <w:smallCaps/>
      <w:color w:val="00837C" w:themeColor="accent1"/>
      <w:spacing w:val="5"/>
    </w:rPr>
  </w:style>
  <w:style w:type="paragraph" w:styleId="NoSpacing">
    <w:name w:val="No Spacing"/>
    <w:uiPriority w:val="1"/>
    <w:qFormat/>
    <w:rsid w:val="00C274E8"/>
    <w:pPr>
      <w:suppressAutoHyphens/>
      <w:spacing w:after="0" w:line="240" w:lineRule="auto"/>
    </w:pPr>
    <w:rPr>
      <w:rFonts w:asciiTheme="minorHAnsi" w:hAnsiTheme="minorHAnsi"/>
      <w:color w:val="313E48" w:themeColor="text1"/>
      <w:sz w:val="22"/>
    </w:rPr>
  </w:style>
  <w:style w:type="character" w:styleId="Hyperlink">
    <w:name w:val="Hyperlink"/>
    <w:basedOn w:val="DefaultParagraphFont"/>
    <w:uiPriority w:val="99"/>
    <w:unhideWhenUsed/>
    <w:rsid w:val="00EB4FBA"/>
    <w:rPr>
      <w:color w:val="0000FF"/>
      <w:u w:val="single"/>
    </w:rPr>
  </w:style>
  <w:style w:type="character" w:styleId="CommentReference">
    <w:name w:val="annotation reference"/>
    <w:basedOn w:val="DefaultParagraphFont"/>
    <w:uiPriority w:val="99"/>
    <w:semiHidden/>
    <w:unhideWhenUsed/>
    <w:rsid w:val="00F27E7F"/>
    <w:rPr>
      <w:sz w:val="16"/>
      <w:szCs w:val="16"/>
    </w:rPr>
  </w:style>
  <w:style w:type="paragraph" w:styleId="CommentText">
    <w:name w:val="annotation text"/>
    <w:basedOn w:val="Normal"/>
    <w:link w:val="CommentTextChar"/>
    <w:uiPriority w:val="99"/>
    <w:unhideWhenUsed/>
    <w:rsid w:val="00F27E7F"/>
    <w:pPr>
      <w:spacing w:line="240" w:lineRule="auto"/>
    </w:pPr>
    <w:rPr>
      <w:sz w:val="20"/>
      <w:szCs w:val="20"/>
    </w:rPr>
  </w:style>
  <w:style w:type="character" w:customStyle="1" w:styleId="CommentTextChar">
    <w:name w:val="Comment Text Char"/>
    <w:basedOn w:val="DefaultParagraphFont"/>
    <w:link w:val="CommentText"/>
    <w:uiPriority w:val="99"/>
    <w:rsid w:val="00F27E7F"/>
    <w:rPr>
      <w:rFonts w:asciiTheme="minorHAnsi" w:hAnsiTheme="minorHAnsi"/>
      <w:color w:val="313E48" w:themeColor="text1"/>
      <w:sz w:val="20"/>
      <w:szCs w:val="20"/>
    </w:rPr>
  </w:style>
  <w:style w:type="paragraph" w:styleId="CommentSubject">
    <w:name w:val="annotation subject"/>
    <w:basedOn w:val="CommentText"/>
    <w:next w:val="CommentText"/>
    <w:link w:val="CommentSubjectChar"/>
    <w:uiPriority w:val="99"/>
    <w:semiHidden/>
    <w:unhideWhenUsed/>
    <w:rsid w:val="00F27E7F"/>
    <w:rPr>
      <w:b/>
      <w:bCs/>
    </w:rPr>
  </w:style>
  <w:style w:type="character" w:customStyle="1" w:styleId="CommentSubjectChar">
    <w:name w:val="Comment Subject Char"/>
    <w:basedOn w:val="CommentTextChar"/>
    <w:link w:val="CommentSubject"/>
    <w:uiPriority w:val="99"/>
    <w:semiHidden/>
    <w:rsid w:val="00F27E7F"/>
    <w:rPr>
      <w:rFonts w:asciiTheme="minorHAnsi" w:hAnsiTheme="minorHAnsi"/>
      <w:b/>
      <w:bCs/>
      <w:color w:val="313E48" w:themeColor="text1"/>
      <w:sz w:val="20"/>
      <w:szCs w:val="20"/>
    </w:rPr>
  </w:style>
  <w:style w:type="character" w:styleId="UnresolvedMention">
    <w:name w:val="Unresolved Mention"/>
    <w:basedOn w:val="DefaultParagraphFont"/>
    <w:uiPriority w:val="99"/>
    <w:semiHidden/>
    <w:unhideWhenUsed/>
    <w:rsid w:val="008D3ECD"/>
    <w:rPr>
      <w:color w:val="605E5C"/>
      <w:shd w:val="clear" w:color="auto" w:fill="E1DFDD"/>
    </w:rPr>
  </w:style>
  <w:style w:type="character" w:styleId="Strong">
    <w:name w:val="Strong"/>
    <w:basedOn w:val="DefaultParagraphFont"/>
    <w:uiPriority w:val="22"/>
    <w:qFormat/>
    <w:rsid w:val="00291588"/>
    <w:rPr>
      <w:b/>
      <w:bCs/>
    </w:rPr>
  </w:style>
  <w:style w:type="paragraph" w:customStyle="1" w:styleId="Default">
    <w:name w:val="Default"/>
    <w:rsid w:val="006A5F3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F2CC2"/>
    <w:pPr>
      <w:spacing w:after="0" w:line="240" w:lineRule="auto"/>
    </w:pPr>
    <w:rPr>
      <w:rFonts w:asciiTheme="minorHAnsi" w:hAnsiTheme="minorHAnsi"/>
      <w:color w:val="313E48" w:themeColor="text1"/>
      <w:sz w:val="22"/>
    </w:rPr>
  </w:style>
  <w:style w:type="character" w:styleId="FollowedHyperlink">
    <w:name w:val="FollowedHyperlink"/>
    <w:basedOn w:val="DefaultParagraphFont"/>
    <w:uiPriority w:val="99"/>
    <w:semiHidden/>
    <w:unhideWhenUsed/>
    <w:rsid w:val="001F2729"/>
    <w:rPr>
      <w:color w:val="954F72" w:themeColor="followedHyperlink"/>
      <w:u w:val="single"/>
    </w:rPr>
  </w:style>
  <w:style w:type="paragraph" w:styleId="Subtitle">
    <w:name w:val="Subtitle"/>
    <w:basedOn w:val="Normal"/>
    <w:next w:val="Normal"/>
    <w:link w:val="SubtitleChar"/>
    <w:uiPriority w:val="11"/>
    <w:qFormat/>
    <w:rsid w:val="00346E58"/>
    <w:pPr>
      <w:numPr>
        <w:ilvl w:val="1"/>
      </w:numPr>
      <w:spacing w:after="160"/>
    </w:pPr>
    <w:rPr>
      <w:rFonts w:eastAsiaTheme="minorEastAsia" w:cstheme="minorBidi"/>
      <w:color w:val="698499" w:themeColor="text1" w:themeTint="A5"/>
      <w:spacing w:val="15"/>
      <w:szCs w:val="22"/>
    </w:rPr>
  </w:style>
  <w:style w:type="character" w:customStyle="1" w:styleId="SubtitleChar">
    <w:name w:val="Subtitle Char"/>
    <w:basedOn w:val="DefaultParagraphFont"/>
    <w:link w:val="Subtitle"/>
    <w:uiPriority w:val="11"/>
    <w:rsid w:val="00346E58"/>
    <w:rPr>
      <w:rFonts w:asciiTheme="minorHAnsi" w:eastAsiaTheme="minorEastAsia" w:hAnsiTheme="minorHAnsi" w:cstheme="minorBidi"/>
      <w:color w:val="698499" w:themeColor="text1" w:themeTint="A5"/>
      <w:spacing w:val="15"/>
      <w:sz w:val="22"/>
      <w:szCs w:val="22"/>
    </w:rPr>
  </w:style>
  <w:style w:type="character" w:styleId="Emphasis">
    <w:name w:val="Emphasis"/>
    <w:basedOn w:val="DefaultParagraphFont"/>
    <w:uiPriority w:val="20"/>
    <w:qFormat/>
    <w:rsid w:val="000F4A6A"/>
    <w:rPr>
      <w:i/>
      <w:iCs/>
    </w:rPr>
  </w:style>
  <w:style w:type="character" w:customStyle="1" w:styleId="normaltextrun">
    <w:name w:val="normaltextrun"/>
    <w:basedOn w:val="DefaultParagraphFont"/>
    <w:rsid w:val="00014346"/>
  </w:style>
  <w:style w:type="paragraph" w:customStyle="1" w:styleId="paragraph">
    <w:name w:val="paragraph"/>
    <w:basedOn w:val="Normal"/>
    <w:rsid w:val="008F255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abchar">
    <w:name w:val="tabchar"/>
    <w:basedOn w:val="DefaultParagraphFont"/>
    <w:rsid w:val="008F2552"/>
  </w:style>
  <w:style w:type="character" w:customStyle="1" w:styleId="eop">
    <w:name w:val="eop"/>
    <w:basedOn w:val="DefaultParagraphFont"/>
    <w:rsid w:val="008F2552"/>
  </w:style>
  <w:style w:type="character" w:styleId="Mention">
    <w:name w:val="Mention"/>
    <w:basedOn w:val="DefaultParagraphFont"/>
    <w:uiPriority w:val="99"/>
    <w:unhideWhenUsed/>
    <w:rsid w:val="001467DD"/>
    <w:rPr>
      <w:color w:val="2B579A"/>
      <w:shd w:val="clear" w:color="auto" w:fill="E1DFDD"/>
    </w:rPr>
  </w:style>
  <w:style w:type="character" w:customStyle="1" w:styleId="cf11">
    <w:name w:val="cf11"/>
    <w:basedOn w:val="DefaultParagraphFont"/>
    <w:rsid w:val="00867168"/>
    <w:rPr>
      <w:rFonts w:ascii="Segoe UI" w:hAnsi="Segoe UI" w:cs="Segoe UI" w:hint="default"/>
      <w:sz w:val="18"/>
      <w:szCs w:val="18"/>
    </w:rPr>
  </w:style>
  <w:style w:type="character" w:customStyle="1" w:styleId="cf01">
    <w:name w:val="cf01"/>
    <w:basedOn w:val="DefaultParagraphFont"/>
    <w:rsid w:val="00867168"/>
    <w:rPr>
      <w:rFonts w:ascii="Segoe UI" w:hAnsi="Segoe UI" w:cs="Segoe UI" w:hint="default"/>
      <w:color w:val="313E48"/>
      <w:sz w:val="18"/>
      <w:szCs w:val="18"/>
    </w:rPr>
  </w:style>
  <w:style w:type="paragraph" w:customStyle="1" w:styleId="pf0">
    <w:name w:val="pf0"/>
    <w:basedOn w:val="Normal"/>
    <w:rsid w:val="009A012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120">
      <w:bodyDiv w:val="1"/>
      <w:marLeft w:val="0"/>
      <w:marRight w:val="0"/>
      <w:marTop w:val="0"/>
      <w:marBottom w:val="0"/>
      <w:divBdr>
        <w:top w:val="none" w:sz="0" w:space="0" w:color="auto"/>
        <w:left w:val="none" w:sz="0" w:space="0" w:color="auto"/>
        <w:bottom w:val="none" w:sz="0" w:space="0" w:color="auto"/>
        <w:right w:val="none" w:sz="0" w:space="0" w:color="auto"/>
      </w:divBdr>
    </w:div>
    <w:div w:id="200553294">
      <w:bodyDiv w:val="1"/>
      <w:marLeft w:val="0"/>
      <w:marRight w:val="0"/>
      <w:marTop w:val="0"/>
      <w:marBottom w:val="0"/>
      <w:divBdr>
        <w:top w:val="none" w:sz="0" w:space="0" w:color="auto"/>
        <w:left w:val="none" w:sz="0" w:space="0" w:color="auto"/>
        <w:bottom w:val="none" w:sz="0" w:space="0" w:color="auto"/>
        <w:right w:val="none" w:sz="0" w:space="0" w:color="auto"/>
      </w:divBdr>
    </w:div>
    <w:div w:id="649289726">
      <w:bodyDiv w:val="1"/>
      <w:marLeft w:val="0"/>
      <w:marRight w:val="0"/>
      <w:marTop w:val="0"/>
      <w:marBottom w:val="0"/>
      <w:divBdr>
        <w:top w:val="none" w:sz="0" w:space="0" w:color="auto"/>
        <w:left w:val="none" w:sz="0" w:space="0" w:color="auto"/>
        <w:bottom w:val="none" w:sz="0" w:space="0" w:color="auto"/>
        <w:right w:val="none" w:sz="0" w:space="0" w:color="auto"/>
      </w:divBdr>
    </w:div>
    <w:div w:id="757335051">
      <w:bodyDiv w:val="1"/>
      <w:marLeft w:val="0"/>
      <w:marRight w:val="0"/>
      <w:marTop w:val="0"/>
      <w:marBottom w:val="0"/>
      <w:divBdr>
        <w:top w:val="none" w:sz="0" w:space="0" w:color="auto"/>
        <w:left w:val="none" w:sz="0" w:space="0" w:color="auto"/>
        <w:bottom w:val="none" w:sz="0" w:space="0" w:color="auto"/>
        <w:right w:val="none" w:sz="0" w:space="0" w:color="auto"/>
      </w:divBdr>
    </w:div>
    <w:div w:id="786436640">
      <w:bodyDiv w:val="1"/>
      <w:marLeft w:val="0"/>
      <w:marRight w:val="0"/>
      <w:marTop w:val="0"/>
      <w:marBottom w:val="0"/>
      <w:divBdr>
        <w:top w:val="none" w:sz="0" w:space="0" w:color="auto"/>
        <w:left w:val="none" w:sz="0" w:space="0" w:color="auto"/>
        <w:bottom w:val="none" w:sz="0" w:space="0" w:color="auto"/>
        <w:right w:val="none" w:sz="0" w:space="0" w:color="auto"/>
      </w:divBdr>
    </w:div>
    <w:div w:id="936641137">
      <w:bodyDiv w:val="1"/>
      <w:marLeft w:val="0"/>
      <w:marRight w:val="0"/>
      <w:marTop w:val="0"/>
      <w:marBottom w:val="0"/>
      <w:divBdr>
        <w:top w:val="none" w:sz="0" w:space="0" w:color="auto"/>
        <w:left w:val="none" w:sz="0" w:space="0" w:color="auto"/>
        <w:bottom w:val="none" w:sz="0" w:space="0" w:color="auto"/>
        <w:right w:val="none" w:sz="0" w:space="0" w:color="auto"/>
      </w:divBdr>
    </w:div>
    <w:div w:id="1118833938">
      <w:bodyDiv w:val="1"/>
      <w:marLeft w:val="0"/>
      <w:marRight w:val="0"/>
      <w:marTop w:val="0"/>
      <w:marBottom w:val="0"/>
      <w:divBdr>
        <w:top w:val="none" w:sz="0" w:space="0" w:color="auto"/>
        <w:left w:val="none" w:sz="0" w:space="0" w:color="auto"/>
        <w:bottom w:val="none" w:sz="0" w:space="0" w:color="auto"/>
        <w:right w:val="none" w:sz="0" w:space="0" w:color="auto"/>
      </w:divBdr>
    </w:div>
    <w:div w:id="1383090459">
      <w:bodyDiv w:val="1"/>
      <w:marLeft w:val="0"/>
      <w:marRight w:val="0"/>
      <w:marTop w:val="0"/>
      <w:marBottom w:val="0"/>
      <w:divBdr>
        <w:top w:val="none" w:sz="0" w:space="0" w:color="auto"/>
        <w:left w:val="none" w:sz="0" w:space="0" w:color="auto"/>
        <w:bottom w:val="none" w:sz="0" w:space="0" w:color="auto"/>
        <w:right w:val="none" w:sz="0" w:space="0" w:color="auto"/>
      </w:divBdr>
      <w:divsChild>
        <w:div w:id="521164068">
          <w:marLeft w:val="0"/>
          <w:marRight w:val="0"/>
          <w:marTop w:val="0"/>
          <w:marBottom w:val="0"/>
          <w:divBdr>
            <w:top w:val="none" w:sz="0" w:space="0" w:color="auto"/>
            <w:left w:val="none" w:sz="0" w:space="0" w:color="auto"/>
            <w:bottom w:val="none" w:sz="0" w:space="0" w:color="auto"/>
            <w:right w:val="none" w:sz="0" w:space="0" w:color="auto"/>
          </w:divBdr>
        </w:div>
        <w:div w:id="589392442">
          <w:marLeft w:val="0"/>
          <w:marRight w:val="0"/>
          <w:marTop w:val="0"/>
          <w:marBottom w:val="0"/>
          <w:divBdr>
            <w:top w:val="none" w:sz="0" w:space="0" w:color="auto"/>
            <w:left w:val="none" w:sz="0" w:space="0" w:color="auto"/>
            <w:bottom w:val="none" w:sz="0" w:space="0" w:color="auto"/>
            <w:right w:val="none" w:sz="0" w:space="0" w:color="auto"/>
          </w:divBdr>
        </w:div>
        <w:div w:id="851454049">
          <w:marLeft w:val="0"/>
          <w:marRight w:val="0"/>
          <w:marTop w:val="0"/>
          <w:marBottom w:val="0"/>
          <w:divBdr>
            <w:top w:val="none" w:sz="0" w:space="0" w:color="auto"/>
            <w:left w:val="none" w:sz="0" w:space="0" w:color="auto"/>
            <w:bottom w:val="none" w:sz="0" w:space="0" w:color="auto"/>
            <w:right w:val="none" w:sz="0" w:space="0" w:color="auto"/>
          </w:divBdr>
        </w:div>
        <w:div w:id="1202132414">
          <w:marLeft w:val="0"/>
          <w:marRight w:val="0"/>
          <w:marTop w:val="0"/>
          <w:marBottom w:val="0"/>
          <w:divBdr>
            <w:top w:val="none" w:sz="0" w:space="0" w:color="auto"/>
            <w:left w:val="none" w:sz="0" w:space="0" w:color="auto"/>
            <w:bottom w:val="none" w:sz="0" w:space="0" w:color="auto"/>
            <w:right w:val="none" w:sz="0" w:space="0" w:color="auto"/>
          </w:divBdr>
        </w:div>
        <w:div w:id="1326471356">
          <w:marLeft w:val="0"/>
          <w:marRight w:val="0"/>
          <w:marTop w:val="0"/>
          <w:marBottom w:val="0"/>
          <w:divBdr>
            <w:top w:val="none" w:sz="0" w:space="0" w:color="auto"/>
            <w:left w:val="none" w:sz="0" w:space="0" w:color="auto"/>
            <w:bottom w:val="none" w:sz="0" w:space="0" w:color="auto"/>
            <w:right w:val="none" w:sz="0" w:space="0" w:color="auto"/>
          </w:divBdr>
          <w:divsChild>
            <w:div w:id="511145077">
              <w:marLeft w:val="-75"/>
              <w:marRight w:val="0"/>
              <w:marTop w:val="30"/>
              <w:marBottom w:val="30"/>
              <w:divBdr>
                <w:top w:val="none" w:sz="0" w:space="0" w:color="auto"/>
                <w:left w:val="none" w:sz="0" w:space="0" w:color="auto"/>
                <w:bottom w:val="none" w:sz="0" w:space="0" w:color="auto"/>
                <w:right w:val="none" w:sz="0" w:space="0" w:color="auto"/>
              </w:divBdr>
              <w:divsChild>
                <w:div w:id="9457492">
                  <w:marLeft w:val="0"/>
                  <w:marRight w:val="0"/>
                  <w:marTop w:val="0"/>
                  <w:marBottom w:val="0"/>
                  <w:divBdr>
                    <w:top w:val="none" w:sz="0" w:space="0" w:color="auto"/>
                    <w:left w:val="none" w:sz="0" w:space="0" w:color="auto"/>
                    <w:bottom w:val="none" w:sz="0" w:space="0" w:color="auto"/>
                    <w:right w:val="none" w:sz="0" w:space="0" w:color="auto"/>
                  </w:divBdr>
                  <w:divsChild>
                    <w:div w:id="1756634831">
                      <w:marLeft w:val="0"/>
                      <w:marRight w:val="0"/>
                      <w:marTop w:val="0"/>
                      <w:marBottom w:val="0"/>
                      <w:divBdr>
                        <w:top w:val="none" w:sz="0" w:space="0" w:color="auto"/>
                        <w:left w:val="none" w:sz="0" w:space="0" w:color="auto"/>
                        <w:bottom w:val="none" w:sz="0" w:space="0" w:color="auto"/>
                        <w:right w:val="none" w:sz="0" w:space="0" w:color="auto"/>
                      </w:divBdr>
                    </w:div>
                  </w:divsChild>
                </w:div>
                <w:div w:id="37753571">
                  <w:marLeft w:val="0"/>
                  <w:marRight w:val="0"/>
                  <w:marTop w:val="0"/>
                  <w:marBottom w:val="0"/>
                  <w:divBdr>
                    <w:top w:val="none" w:sz="0" w:space="0" w:color="auto"/>
                    <w:left w:val="none" w:sz="0" w:space="0" w:color="auto"/>
                    <w:bottom w:val="none" w:sz="0" w:space="0" w:color="auto"/>
                    <w:right w:val="none" w:sz="0" w:space="0" w:color="auto"/>
                  </w:divBdr>
                  <w:divsChild>
                    <w:div w:id="898394953">
                      <w:marLeft w:val="0"/>
                      <w:marRight w:val="0"/>
                      <w:marTop w:val="0"/>
                      <w:marBottom w:val="0"/>
                      <w:divBdr>
                        <w:top w:val="none" w:sz="0" w:space="0" w:color="auto"/>
                        <w:left w:val="none" w:sz="0" w:space="0" w:color="auto"/>
                        <w:bottom w:val="none" w:sz="0" w:space="0" w:color="auto"/>
                        <w:right w:val="none" w:sz="0" w:space="0" w:color="auto"/>
                      </w:divBdr>
                    </w:div>
                  </w:divsChild>
                </w:div>
                <w:div w:id="133373159">
                  <w:marLeft w:val="0"/>
                  <w:marRight w:val="0"/>
                  <w:marTop w:val="0"/>
                  <w:marBottom w:val="0"/>
                  <w:divBdr>
                    <w:top w:val="none" w:sz="0" w:space="0" w:color="auto"/>
                    <w:left w:val="none" w:sz="0" w:space="0" w:color="auto"/>
                    <w:bottom w:val="none" w:sz="0" w:space="0" w:color="auto"/>
                    <w:right w:val="none" w:sz="0" w:space="0" w:color="auto"/>
                  </w:divBdr>
                  <w:divsChild>
                    <w:div w:id="1053390156">
                      <w:marLeft w:val="0"/>
                      <w:marRight w:val="0"/>
                      <w:marTop w:val="0"/>
                      <w:marBottom w:val="0"/>
                      <w:divBdr>
                        <w:top w:val="none" w:sz="0" w:space="0" w:color="auto"/>
                        <w:left w:val="none" w:sz="0" w:space="0" w:color="auto"/>
                        <w:bottom w:val="none" w:sz="0" w:space="0" w:color="auto"/>
                        <w:right w:val="none" w:sz="0" w:space="0" w:color="auto"/>
                      </w:divBdr>
                    </w:div>
                  </w:divsChild>
                </w:div>
                <w:div w:id="152765292">
                  <w:marLeft w:val="0"/>
                  <w:marRight w:val="0"/>
                  <w:marTop w:val="0"/>
                  <w:marBottom w:val="0"/>
                  <w:divBdr>
                    <w:top w:val="none" w:sz="0" w:space="0" w:color="auto"/>
                    <w:left w:val="none" w:sz="0" w:space="0" w:color="auto"/>
                    <w:bottom w:val="none" w:sz="0" w:space="0" w:color="auto"/>
                    <w:right w:val="none" w:sz="0" w:space="0" w:color="auto"/>
                  </w:divBdr>
                  <w:divsChild>
                    <w:div w:id="608047042">
                      <w:marLeft w:val="0"/>
                      <w:marRight w:val="0"/>
                      <w:marTop w:val="0"/>
                      <w:marBottom w:val="0"/>
                      <w:divBdr>
                        <w:top w:val="none" w:sz="0" w:space="0" w:color="auto"/>
                        <w:left w:val="none" w:sz="0" w:space="0" w:color="auto"/>
                        <w:bottom w:val="none" w:sz="0" w:space="0" w:color="auto"/>
                        <w:right w:val="none" w:sz="0" w:space="0" w:color="auto"/>
                      </w:divBdr>
                    </w:div>
                  </w:divsChild>
                </w:div>
                <w:div w:id="159464477">
                  <w:marLeft w:val="0"/>
                  <w:marRight w:val="0"/>
                  <w:marTop w:val="0"/>
                  <w:marBottom w:val="0"/>
                  <w:divBdr>
                    <w:top w:val="none" w:sz="0" w:space="0" w:color="auto"/>
                    <w:left w:val="none" w:sz="0" w:space="0" w:color="auto"/>
                    <w:bottom w:val="none" w:sz="0" w:space="0" w:color="auto"/>
                    <w:right w:val="none" w:sz="0" w:space="0" w:color="auto"/>
                  </w:divBdr>
                  <w:divsChild>
                    <w:div w:id="1451707307">
                      <w:marLeft w:val="0"/>
                      <w:marRight w:val="0"/>
                      <w:marTop w:val="0"/>
                      <w:marBottom w:val="0"/>
                      <w:divBdr>
                        <w:top w:val="none" w:sz="0" w:space="0" w:color="auto"/>
                        <w:left w:val="none" w:sz="0" w:space="0" w:color="auto"/>
                        <w:bottom w:val="none" w:sz="0" w:space="0" w:color="auto"/>
                        <w:right w:val="none" w:sz="0" w:space="0" w:color="auto"/>
                      </w:divBdr>
                    </w:div>
                  </w:divsChild>
                </w:div>
                <w:div w:id="163472883">
                  <w:marLeft w:val="0"/>
                  <w:marRight w:val="0"/>
                  <w:marTop w:val="0"/>
                  <w:marBottom w:val="0"/>
                  <w:divBdr>
                    <w:top w:val="none" w:sz="0" w:space="0" w:color="auto"/>
                    <w:left w:val="none" w:sz="0" w:space="0" w:color="auto"/>
                    <w:bottom w:val="none" w:sz="0" w:space="0" w:color="auto"/>
                    <w:right w:val="none" w:sz="0" w:space="0" w:color="auto"/>
                  </w:divBdr>
                  <w:divsChild>
                    <w:div w:id="2063749656">
                      <w:marLeft w:val="0"/>
                      <w:marRight w:val="0"/>
                      <w:marTop w:val="0"/>
                      <w:marBottom w:val="0"/>
                      <w:divBdr>
                        <w:top w:val="none" w:sz="0" w:space="0" w:color="auto"/>
                        <w:left w:val="none" w:sz="0" w:space="0" w:color="auto"/>
                        <w:bottom w:val="none" w:sz="0" w:space="0" w:color="auto"/>
                        <w:right w:val="none" w:sz="0" w:space="0" w:color="auto"/>
                      </w:divBdr>
                    </w:div>
                  </w:divsChild>
                </w:div>
                <w:div w:id="196814935">
                  <w:marLeft w:val="0"/>
                  <w:marRight w:val="0"/>
                  <w:marTop w:val="0"/>
                  <w:marBottom w:val="0"/>
                  <w:divBdr>
                    <w:top w:val="none" w:sz="0" w:space="0" w:color="auto"/>
                    <w:left w:val="none" w:sz="0" w:space="0" w:color="auto"/>
                    <w:bottom w:val="none" w:sz="0" w:space="0" w:color="auto"/>
                    <w:right w:val="none" w:sz="0" w:space="0" w:color="auto"/>
                  </w:divBdr>
                  <w:divsChild>
                    <w:div w:id="1604070407">
                      <w:marLeft w:val="0"/>
                      <w:marRight w:val="0"/>
                      <w:marTop w:val="0"/>
                      <w:marBottom w:val="0"/>
                      <w:divBdr>
                        <w:top w:val="none" w:sz="0" w:space="0" w:color="auto"/>
                        <w:left w:val="none" w:sz="0" w:space="0" w:color="auto"/>
                        <w:bottom w:val="none" w:sz="0" w:space="0" w:color="auto"/>
                        <w:right w:val="none" w:sz="0" w:space="0" w:color="auto"/>
                      </w:divBdr>
                    </w:div>
                  </w:divsChild>
                </w:div>
                <w:div w:id="261105871">
                  <w:marLeft w:val="0"/>
                  <w:marRight w:val="0"/>
                  <w:marTop w:val="0"/>
                  <w:marBottom w:val="0"/>
                  <w:divBdr>
                    <w:top w:val="none" w:sz="0" w:space="0" w:color="auto"/>
                    <w:left w:val="none" w:sz="0" w:space="0" w:color="auto"/>
                    <w:bottom w:val="none" w:sz="0" w:space="0" w:color="auto"/>
                    <w:right w:val="none" w:sz="0" w:space="0" w:color="auto"/>
                  </w:divBdr>
                  <w:divsChild>
                    <w:div w:id="958295722">
                      <w:marLeft w:val="0"/>
                      <w:marRight w:val="0"/>
                      <w:marTop w:val="0"/>
                      <w:marBottom w:val="0"/>
                      <w:divBdr>
                        <w:top w:val="none" w:sz="0" w:space="0" w:color="auto"/>
                        <w:left w:val="none" w:sz="0" w:space="0" w:color="auto"/>
                        <w:bottom w:val="none" w:sz="0" w:space="0" w:color="auto"/>
                        <w:right w:val="none" w:sz="0" w:space="0" w:color="auto"/>
                      </w:divBdr>
                    </w:div>
                  </w:divsChild>
                </w:div>
                <w:div w:id="267198597">
                  <w:marLeft w:val="0"/>
                  <w:marRight w:val="0"/>
                  <w:marTop w:val="0"/>
                  <w:marBottom w:val="0"/>
                  <w:divBdr>
                    <w:top w:val="none" w:sz="0" w:space="0" w:color="auto"/>
                    <w:left w:val="none" w:sz="0" w:space="0" w:color="auto"/>
                    <w:bottom w:val="none" w:sz="0" w:space="0" w:color="auto"/>
                    <w:right w:val="none" w:sz="0" w:space="0" w:color="auto"/>
                  </w:divBdr>
                  <w:divsChild>
                    <w:div w:id="737749732">
                      <w:marLeft w:val="0"/>
                      <w:marRight w:val="0"/>
                      <w:marTop w:val="0"/>
                      <w:marBottom w:val="0"/>
                      <w:divBdr>
                        <w:top w:val="none" w:sz="0" w:space="0" w:color="auto"/>
                        <w:left w:val="none" w:sz="0" w:space="0" w:color="auto"/>
                        <w:bottom w:val="none" w:sz="0" w:space="0" w:color="auto"/>
                        <w:right w:val="none" w:sz="0" w:space="0" w:color="auto"/>
                      </w:divBdr>
                    </w:div>
                  </w:divsChild>
                </w:div>
                <w:div w:id="307590003">
                  <w:marLeft w:val="0"/>
                  <w:marRight w:val="0"/>
                  <w:marTop w:val="0"/>
                  <w:marBottom w:val="0"/>
                  <w:divBdr>
                    <w:top w:val="none" w:sz="0" w:space="0" w:color="auto"/>
                    <w:left w:val="none" w:sz="0" w:space="0" w:color="auto"/>
                    <w:bottom w:val="none" w:sz="0" w:space="0" w:color="auto"/>
                    <w:right w:val="none" w:sz="0" w:space="0" w:color="auto"/>
                  </w:divBdr>
                  <w:divsChild>
                    <w:div w:id="651255808">
                      <w:marLeft w:val="0"/>
                      <w:marRight w:val="0"/>
                      <w:marTop w:val="0"/>
                      <w:marBottom w:val="0"/>
                      <w:divBdr>
                        <w:top w:val="none" w:sz="0" w:space="0" w:color="auto"/>
                        <w:left w:val="none" w:sz="0" w:space="0" w:color="auto"/>
                        <w:bottom w:val="none" w:sz="0" w:space="0" w:color="auto"/>
                        <w:right w:val="none" w:sz="0" w:space="0" w:color="auto"/>
                      </w:divBdr>
                    </w:div>
                  </w:divsChild>
                </w:div>
                <w:div w:id="387844418">
                  <w:marLeft w:val="0"/>
                  <w:marRight w:val="0"/>
                  <w:marTop w:val="0"/>
                  <w:marBottom w:val="0"/>
                  <w:divBdr>
                    <w:top w:val="none" w:sz="0" w:space="0" w:color="auto"/>
                    <w:left w:val="none" w:sz="0" w:space="0" w:color="auto"/>
                    <w:bottom w:val="none" w:sz="0" w:space="0" w:color="auto"/>
                    <w:right w:val="none" w:sz="0" w:space="0" w:color="auto"/>
                  </w:divBdr>
                  <w:divsChild>
                    <w:div w:id="1364553810">
                      <w:marLeft w:val="0"/>
                      <w:marRight w:val="0"/>
                      <w:marTop w:val="0"/>
                      <w:marBottom w:val="0"/>
                      <w:divBdr>
                        <w:top w:val="none" w:sz="0" w:space="0" w:color="auto"/>
                        <w:left w:val="none" w:sz="0" w:space="0" w:color="auto"/>
                        <w:bottom w:val="none" w:sz="0" w:space="0" w:color="auto"/>
                        <w:right w:val="none" w:sz="0" w:space="0" w:color="auto"/>
                      </w:divBdr>
                    </w:div>
                  </w:divsChild>
                </w:div>
                <w:div w:id="415976859">
                  <w:marLeft w:val="0"/>
                  <w:marRight w:val="0"/>
                  <w:marTop w:val="0"/>
                  <w:marBottom w:val="0"/>
                  <w:divBdr>
                    <w:top w:val="none" w:sz="0" w:space="0" w:color="auto"/>
                    <w:left w:val="none" w:sz="0" w:space="0" w:color="auto"/>
                    <w:bottom w:val="none" w:sz="0" w:space="0" w:color="auto"/>
                    <w:right w:val="none" w:sz="0" w:space="0" w:color="auto"/>
                  </w:divBdr>
                  <w:divsChild>
                    <w:div w:id="229929235">
                      <w:marLeft w:val="0"/>
                      <w:marRight w:val="0"/>
                      <w:marTop w:val="0"/>
                      <w:marBottom w:val="0"/>
                      <w:divBdr>
                        <w:top w:val="none" w:sz="0" w:space="0" w:color="auto"/>
                        <w:left w:val="none" w:sz="0" w:space="0" w:color="auto"/>
                        <w:bottom w:val="none" w:sz="0" w:space="0" w:color="auto"/>
                        <w:right w:val="none" w:sz="0" w:space="0" w:color="auto"/>
                      </w:divBdr>
                    </w:div>
                  </w:divsChild>
                </w:div>
                <w:div w:id="422071560">
                  <w:marLeft w:val="0"/>
                  <w:marRight w:val="0"/>
                  <w:marTop w:val="0"/>
                  <w:marBottom w:val="0"/>
                  <w:divBdr>
                    <w:top w:val="none" w:sz="0" w:space="0" w:color="auto"/>
                    <w:left w:val="none" w:sz="0" w:space="0" w:color="auto"/>
                    <w:bottom w:val="none" w:sz="0" w:space="0" w:color="auto"/>
                    <w:right w:val="none" w:sz="0" w:space="0" w:color="auto"/>
                  </w:divBdr>
                  <w:divsChild>
                    <w:div w:id="1770470752">
                      <w:marLeft w:val="0"/>
                      <w:marRight w:val="0"/>
                      <w:marTop w:val="0"/>
                      <w:marBottom w:val="0"/>
                      <w:divBdr>
                        <w:top w:val="none" w:sz="0" w:space="0" w:color="auto"/>
                        <w:left w:val="none" w:sz="0" w:space="0" w:color="auto"/>
                        <w:bottom w:val="none" w:sz="0" w:space="0" w:color="auto"/>
                        <w:right w:val="none" w:sz="0" w:space="0" w:color="auto"/>
                      </w:divBdr>
                    </w:div>
                  </w:divsChild>
                </w:div>
                <w:div w:id="433477444">
                  <w:marLeft w:val="0"/>
                  <w:marRight w:val="0"/>
                  <w:marTop w:val="0"/>
                  <w:marBottom w:val="0"/>
                  <w:divBdr>
                    <w:top w:val="none" w:sz="0" w:space="0" w:color="auto"/>
                    <w:left w:val="none" w:sz="0" w:space="0" w:color="auto"/>
                    <w:bottom w:val="none" w:sz="0" w:space="0" w:color="auto"/>
                    <w:right w:val="none" w:sz="0" w:space="0" w:color="auto"/>
                  </w:divBdr>
                  <w:divsChild>
                    <w:div w:id="227304536">
                      <w:marLeft w:val="0"/>
                      <w:marRight w:val="0"/>
                      <w:marTop w:val="0"/>
                      <w:marBottom w:val="0"/>
                      <w:divBdr>
                        <w:top w:val="none" w:sz="0" w:space="0" w:color="auto"/>
                        <w:left w:val="none" w:sz="0" w:space="0" w:color="auto"/>
                        <w:bottom w:val="none" w:sz="0" w:space="0" w:color="auto"/>
                        <w:right w:val="none" w:sz="0" w:space="0" w:color="auto"/>
                      </w:divBdr>
                    </w:div>
                  </w:divsChild>
                </w:div>
                <w:div w:id="440338080">
                  <w:marLeft w:val="0"/>
                  <w:marRight w:val="0"/>
                  <w:marTop w:val="0"/>
                  <w:marBottom w:val="0"/>
                  <w:divBdr>
                    <w:top w:val="none" w:sz="0" w:space="0" w:color="auto"/>
                    <w:left w:val="none" w:sz="0" w:space="0" w:color="auto"/>
                    <w:bottom w:val="none" w:sz="0" w:space="0" w:color="auto"/>
                    <w:right w:val="none" w:sz="0" w:space="0" w:color="auto"/>
                  </w:divBdr>
                  <w:divsChild>
                    <w:div w:id="995109054">
                      <w:marLeft w:val="0"/>
                      <w:marRight w:val="0"/>
                      <w:marTop w:val="0"/>
                      <w:marBottom w:val="0"/>
                      <w:divBdr>
                        <w:top w:val="none" w:sz="0" w:space="0" w:color="auto"/>
                        <w:left w:val="none" w:sz="0" w:space="0" w:color="auto"/>
                        <w:bottom w:val="none" w:sz="0" w:space="0" w:color="auto"/>
                        <w:right w:val="none" w:sz="0" w:space="0" w:color="auto"/>
                      </w:divBdr>
                    </w:div>
                  </w:divsChild>
                </w:div>
                <w:div w:id="454104993">
                  <w:marLeft w:val="0"/>
                  <w:marRight w:val="0"/>
                  <w:marTop w:val="0"/>
                  <w:marBottom w:val="0"/>
                  <w:divBdr>
                    <w:top w:val="none" w:sz="0" w:space="0" w:color="auto"/>
                    <w:left w:val="none" w:sz="0" w:space="0" w:color="auto"/>
                    <w:bottom w:val="none" w:sz="0" w:space="0" w:color="auto"/>
                    <w:right w:val="none" w:sz="0" w:space="0" w:color="auto"/>
                  </w:divBdr>
                  <w:divsChild>
                    <w:div w:id="1443380749">
                      <w:marLeft w:val="0"/>
                      <w:marRight w:val="0"/>
                      <w:marTop w:val="0"/>
                      <w:marBottom w:val="0"/>
                      <w:divBdr>
                        <w:top w:val="none" w:sz="0" w:space="0" w:color="auto"/>
                        <w:left w:val="none" w:sz="0" w:space="0" w:color="auto"/>
                        <w:bottom w:val="none" w:sz="0" w:space="0" w:color="auto"/>
                        <w:right w:val="none" w:sz="0" w:space="0" w:color="auto"/>
                      </w:divBdr>
                    </w:div>
                  </w:divsChild>
                </w:div>
                <w:div w:id="486896734">
                  <w:marLeft w:val="0"/>
                  <w:marRight w:val="0"/>
                  <w:marTop w:val="0"/>
                  <w:marBottom w:val="0"/>
                  <w:divBdr>
                    <w:top w:val="none" w:sz="0" w:space="0" w:color="auto"/>
                    <w:left w:val="none" w:sz="0" w:space="0" w:color="auto"/>
                    <w:bottom w:val="none" w:sz="0" w:space="0" w:color="auto"/>
                    <w:right w:val="none" w:sz="0" w:space="0" w:color="auto"/>
                  </w:divBdr>
                  <w:divsChild>
                    <w:div w:id="1105348217">
                      <w:marLeft w:val="0"/>
                      <w:marRight w:val="0"/>
                      <w:marTop w:val="0"/>
                      <w:marBottom w:val="0"/>
                      <w:divBdr>
                        <w:top w:val="none" w:sz="0" w:space="0" w:color="auto"/>
                        <w:left w:val="none" w:sz="0" w:space="0" w:color="auto"/>
                        <w:bottom w:val="none" w:sz="0" w:space="0" w:color="auto"/>
                        <w:right w:val="none" w:sz="0" w:space="0" w:color="auto"/>
                      </w:divBdr>
                    </w:div>
                  </w:divsChild>
                </w:div>
                <w:div w:id="506016469">
                  <w:marLeft w:val="0"/>
                  <w:marRight w:val="0"/>
                  <w:marTop w:val="0"/>
                  <w:marBottom w:val="0"/>
                  <w:divBdr>
                    <w:top w:val="none" w:sz="0" w:space="0" w:color="auto"/>
                    <w:left w:val="none" w:sz="0" w:space="0" w:color="auto"/>
                    <w:bottom w:val="none" w:sz="0" w:space="0" w:color="auto"/>
                    <w:right w:val="none" w:sz="0" w:space="0" w:color="auto"/>
                  </w:divBdr>
                  <w:divsChild>
                    <w:div w:id="994182192">
                      <w:marLeft w:val="0"/>
                      <w:marRight w:val="0"/>
                      <w:marTop w:val="0"/>
                      <w:marBottom w:val="0"/>
                      <w:divBdr>
                        <w:top w:val="none" w:sz="0" w:space="0" w:color="auto"/>
                        <w:left w:val="none" w:sz="0" w:space="0" w:color="auto"/>
                        <w:bottom w:val="none" w:sz="0" w:space="0" w:color="auto"/>
                        <w:right w:val="none" w:sz="0" w:space="0" w:color="auto"/>
                      </w:divBdr>
                    </w:div>
                  </w:divsChild>
                </w:div>
                <w:div w:id="515193848">
                  <w:marLeft w:val="0"/>
                  <w:marRight w:val="0"/>
                  <w:marTop w:val="0"/>
                  <w:marBottom w:val="0"/>
                  <w:divBdr>
                    <w:top w:val="none" w:sz="0" w:space="0" w:color="auto"/>
                    <w:left w:val="none" w:sz="0" w:space="0" w:color="auto"/>
                    <w:bottom w:val="none" w:sz="0" w:space="0" w:color="auto"/>
                    <w:right w:val="none" w:sz="0" w:space="0" w:color="auto"/>
                  </w:divBdr>
                  <w:divsChild>
                    <w:div w:id="1414624705">
                      <w:marLeft w:val="0"/>
                      <w:marRight w:val="0"/>
                      <w:marTop w:val="0"/>
                      <w:marBottom w:val="0"/>
                      <w:divBdr>
                        <w:top w:val="none" w:sz="0" w:space="0" w:color="auto"/>
                        <w:left w:val="none" w:sz="0" w:space="0" w:color="auto"/>
                        <w:bottom w:val="none" w:sz="0" w:space="0" w:color="auto"/>
                        <w:right w:val="none" w:sz="0" w:space="0" w:color="auto"/>
                      </w:divBdr>
                    </w:div>
                  </w:divsChild>
                </w:div>
                <w:div w:id="516164450">
                  <w:marLeft w:val="0"/>
                  <w:marRight w:val="0"/>
                  <w:marTop w:val="0"/>
                  <w:marBottom w:val="0"/>
                  <w:divBdr>
                    <w:top w:val="none" w:sz="0" w:space="0" w:color="auto"/>
                    <w:left w:val="none" w:sz="0" w:space="0" w:color="auto"/>
                    <w:bottom w:val="none" w:sz="0" w:space="0" w:color="auto"/>
                    <w:right w:val="none" w:sz="0" w:space="0" w:color="auto"/>
                  </w:divBdr>
                  <w:divsChild>
                    <w:div w:id="1074812982">
                      <w:marLeft w:val="0"/>
                      <w:marRight w:val="0"/>
                      <w:marTop w:val="0"/>
                      <w:marBottom w:val="0"/>
                      <w:divBdr>
                        <w:top w:val="none" w:sz="0" w:space="0" w:color="auto"/>
                        <w:left w:val="none" w:sz="0" w:space="0" w:color="auto"/>
                        <w:bottom w:val="none" w:sz="0" w:space="0" w:color="auto"/>
                        <w:right w:val="none" w:sz="0" w:space="0" w:color="auto"/>
                      </w:divBdr>
                    </w:div>
                  </w:divsChild>
                </w:div>
                <w:div w:id="543637501">
                  <w:marLeft w:val="0"/>
                  <w:marRight w:val="0"/>
                  <w:marTop w:val="0"/>
                  <w:marBottom w:val="0"/>
                  <w:divBdr>
                    <w:top w:val="none" w:sz="0" w:space="0" w:color="auto"/>
                    <w:left w:val="none" w:sz="0" w:space="0" w:color="auto"/>
                    <w:bottom w:val="none" w:sz="0" w:space="0" w:color="auto"/>
                    <w:right w:val="none" w:sz="0" w:space="0" w:color="auto"/>
                  </w:divBdr>
                  <w:divsChild>
                    <w:div w:id="1307660698">
                      <w:marLeft w:val="0"/>
                      <w:marRight w:val="0"/>
                      <w:marTop w:val="0"/>
                      <w:marBottom w:val="0"/>
                      <w:divBdr>
                        <w:top w:val="none" w:sz="0" w:space="0" w:color="auto"/>
                        <w:left w:val="none" w:sz="0" w:space="0" w:color="auto"/>
                        <w:bottom w:val="none" w:sz="0" w:space="0" w:color="auto"/>
                        <w:right w:val="none" w:sz="0" w:space="0" w:color="auto"/>
                      </w:divBdr>
                    </w:div>
                  </w:divsChild>
                </w:div>
                <w:div w:id="672759409">
                  <w:marLeft w:val="0"/>
                  <w:marRight w:val="0"/>
                  <w:marTop w:val="0"/>
                  <w:marBottom w:val="0"/>
                  <w:divBdr>
                    <w:top w:val="none" w:sz="0" w:space="0" w:color="auto"/>
                    <w:left w:val="none" w:sz="0" w:space="0" w:color="auto"/>
                    <w:bottom w:val="none" w:sz="0" w:space="0" w:color="auto"/>
                    <w:right w:val="none" w:sz="0" w:space="0" w:color="auto"/>
                  </w:divBdr>
                  <w:divsChild>
                    <w:div w:id="250503426">
                      <w:marLeft w:val="0"/>
                      <w:marRight w:val="0"/>
                      <w:marTop w:val="0"/>
                      <w:marBottom w:val="0"/>
                      <w:divBdr>
                        <w:top w:val="none" w:sz="0" w:space="0" w:color="auto"/>
                        <w:left w:val="none" w:sz="0" w:space="0" w:color="auto"/>
                        <w:bottom w:val="none" w:sz="0" w:space="0" w:color="auto"/>
                        <w:right w:val="none" w:sz="0" w:space="0" w:color="auto"/>
                      </w:divBdr>
                    </w:div>
                  </w:divsChild>
                </w:div>
                <w:div w:id="686758635">
                  <w:marLeft w:val="0"/>
                  <w:marRight w:val="0"/>
                  <w:marTop w:val="0"/>
                  <w:marBottom w:val="0"/>
                  <w:divBdr>
                    <w:top w:val="none" w:sz="0" w:space="0" w:color="auto"/>
                    <w:left w:val="none" w:sz="0" w:space="0" w:color="auto"/>
                    <w:bottom w:val="none" w:sz="0" w:space="0" w:color="auto"/>
                    <w:right w:val="none" w:sz="0" w:space="0" w:color="auto"/>
                  </w:divBdr>
                  <w:divsChild>
                    <w:div w:id="1119953710">
                      <w:marLeft w:val="0"/>
                      <w:marRight w:val="0"/>
                      <w:marTop w:val="0"/>
                      <w:marBottom w:val="0"/>
                      <w:divBdr>
                        <w:top w:val="none" w:sz="0" w:space="0" w:color="auto"/>
                        <w:left w:val="none" w:sz="0" w:space="0" w:color="auto"/>
                        <w:bottom w:val="none" w:sz="0" w:space="0" w:color="auto"/>
                        <w:right w:val="none" w:sz="0" w:space="0" w:color="auto"/>
                      </w:divBdr>
                    </w:div>
                  </w:divsChild>
                </w:div>
                <w:div w:id="747577020">
                  <w:marLeft w:val="0"/>
                  <w:marRight w:val="0"/>
                  <w:marTop w:val="0"/>
                  <w:marBottom w:val="0"/>
                  <w:divBdr>
                    <w:top w:val="none" w:sz="0" w:space="0" w:color="auto"/>
                    <w:left w:val="none" w:sz="0" w:space="0" w:color="auto"/>
                    <w:bottom w:val="none" w:sz="0" w:space="0" w:color="auto"/>
                    <w:right w:val="none" w:sz="0" w:space="0" w:color="auto"/>
                  </w:divBdr>
                  <w:divsChild>
                    <w:div w:id="420873978">
                      <w:marLeft w:val="0"/>
                      <w:marRight w:val="0"/>
                      <w:marTop w:val="0"/>
                      <w:marBottom w:val="0"/>
                      <w:divBdr>
                        <w:top w:val="none" w:sz="0" w:space="0" w:color="auto"/>
                        <w:left w:val="none" w:sz="0" w:space="0" w:color="auto"/>
                        <w:bottom w:val="none" w:sz="0" w:space="0" w:color="auto"/>
                        <w:right w:val="none" w:sz="0" w:space="0" w:color="auto"/>
                      </w:divBdr>
                    </w:div>
                  </w:divsChild>
                </w:div>
                <w:div w:id="749816742">
                  <w:marLeft w:val="0"/>
                  <w:marRight w:val="0"/>
                  <w:marTop w:val="0"/>
                  <w:marBottom w:val="0"/>
                  <w:divBdr>
                    <w:top w:val="none" w:sz="0" w:space="0" w:color="auto"/>
                    <w:left w:val="none" w:sz="0" w:space="0" w:color="auto"/>
                    <w:bottom w:val="none" w:sz="0" w:space="0" w:color="auto"/>
                    <w:right w:val="none" w:sz="0" w:space="0" w:color="auto"/>
                  </w:divBdr>
                  <w:divsChild>
                    <w:div w:id="1388063685">
                      <w:marLeft w:val="0"/>
                      <w:marRight w:val="0"/>
                      <w:marTop w:val="0"/>
                      <w:marBottom w:val="0"/>
                      <w:divBdr>
                        <w:top w:val="none" w:sz="0" w:space="0" w:color="auto"/>
                        <w:left w:val="none" w:sz="0" w:space="0" w:color="auto"/>
                        <w:bottom w:val="none" w:sz="0" w:space="0" w:color="auto"/>
                        <w:right w:val="none" w:sz="0" w:space="0" w:color="auto"/>
                      </w:divBdr>
                    </w:div>
                  </w:divsChild>
                </w:div>
                <w:div w:id="771709490">
                  <w:marLeft w:val="0"/>
                  <w:marRight w:val="0"/>
                  <w:marTop w:val="0"/>
                  <w:marBottom w:val="0"/>
                  <w:divBdr>
                    <w:top w:val="none" w:sz="0" w:space="0" w:color="auto"/>
                    <w:left w:val="none" w:sz="0" w:space="0" w:color="auto"/>
                    <w:bottom w:val="none" w:sz="0" w:space="0" w:color="auto"/>
                    <w:right w:val="none" w:sz="0" w:space="0" w:color="auto"/>
                  </w:divBdr>
                  <w:divsChild>
                    <w:div w:id="518809745">
                      <w:marLeft w:val="0"/>
                      <w:marRight w:val="0"/>
                      <w:marTop w:val="0"/>
                      <w:marBottom w:val="0"/>
                      <w:divBdr>
                        <w:top w:val="none" w:sz="0" w:space="0" w:color="auto"/>
                        <w:left w:val="none" w:sz="0" w:space="0" w:color="auto"/>
                        <w:bottom w:val="none" w:sz="0" w:space="0" w:color="auto"/>
                        <w:right w:val="none" w:sz="0" w:space="0" w:color="auto"/>
                      </w:divBdr>
                    </w:div>
                  </w:divsChild>
                </w:div>
                <w:div w:id="780228433">
                  <w:marLeft w:val="0"/>
                  <w:marRight w:val="0"/>
                  <w:marTop w:val="0"/>
                  <w:marBottom w:val="0"/>
                  <w:divBdr>
                    <w:top w:val="none" w:sz="0" w:space="0" w:color="auto"/>
                    <w:left w:val="none" w:sz="0" w:space="0" w:color="auto"/>
                    <w:bottom w:val="none" w:sz="0" w:space="0" w:color="auto"/>
                    <w:right w:val="none" w:sz="0" w:space="0" w:color="auto"/>
                  </w:divBdr>
                  <w:divsChild>
                    <w:div w:id="1670862768">
                      <w:marLeft w:val="0"/>
                      <w:marRight w:val="0"/>
                      <w:marTop w:val="0"/>
                      <w:marBottom w:val="0"/>
                      <w:divBdr>
                        <w:top w:val="none" w:sz="0" w:space="0" w:color="auto"/>
                        <w:left w:val="none" w:sz="0" w:space="0" w:color="auto"/>
                        <w:bottom w:val="none" w:sz="0" w:space="0" w:color="auto"/>
                        <w:right w:val="none" w:sz="0" w:space="0" w:color="auto"/>
                      </w:divBdr>
                    </w:div>
                  </w:divsChild>
                </w:div>
                <w:div w:id="821851004">
                  <w:marLeft w:val="0"/>
                  <w:marRight w:val="0"/>
                  <w:marTop w:val="0"/>
                  <w:marBottom w:val="0"/>
                  <w:divBdr>
                    <w:top w:val="none" w:sz="0" w:space="0" w:color="auto"/>
                    <w:left w:val="none" w:sz="0" w:space="0" w:color="auto"/>
                    <w:bottom w:val="none" w:sz="0" w:space="0" w:color="auto"/>
                    <w:right w:val="none" w:sz="0" w:space="0" w:color="auto"/>
                  </w:divBdr>
                  <w:divsChild>
                    <w:div w:id="668293811">
                      <w:marLeft w:val="0"/>
                      <w:marRight w:val="0"/>
                      <w:marTop w:val="0"/>
                      <w:marBottom w:val="0"/>
                      <w:divBdr>
                        <w:top w:val="none" w:sz="0" w:space="0" w:color="auto"/>
                        <w:left w:val="none" w:sz="0" w:space="0" w:color="auto"/>
                        <w:bottom w:val="none" w:sz="0" w:space="0" w:color="auto"/>
                        <w:right w:val="none" w:sz="0" w:space="0" w:color="auto"/>
                      </w:divBdr>
                    </w:div>
                  </w:divsChild>
                </w:div>
                <w:div w:id="870873560">
                  <w:marLeft w:val="0"/>
                  <w:marRight w:val="0"/>
                  <w:marTop w:val="0"/>
                  <w:marBottom w:val="0"/>
                  <w:divBdr>
                    <w:top w:val="none" w:sz="0" w:space="0" w:color="auto"/>
                    <w:left w:val="none" w:sz="0" w:space="0" w:color="auto"/>
                    <w:bottom w:val="none" w:sz="0" w:space="0" w:color="auto"/>
                    <w:right w:val="none" w:sz="0" w:space="0" w:color="auto"/>
                  </w:divBdr>
                  <w:divsChild>
                    <w:div w:id="1286085241">
                      <w:marLeft w:val="0"/>
                      <w:marRight w:val="0"/>
                      <w:marTop w:val="0"/>
                      <w:marBottom w:val="0"/>
                      <w:divBdr>
                        <w:top w:val="none" w:sz="0" w:space="0" w:color="auto"/>
                        <w:left w:val="none" w:sz="0" w:space="0" w:color="auto"/>
                        <w:bottom w:val="none" w:sz="0" w:space="0" w:color="auto"/>
                        <w:right w:val="none" w:sz="0" w:space="0" w:color="auto"/>
                      </w:divBdr>
                    </w:div>
                  </w:divsChild>
                </w:div>
                <w:div w:id="963468295">
                  <w:marLeft w:val="0"/>
                  <w:marRight w:val="0"/>
                  <w:marTop w:val="0"/>
                  <w:marBottom w:val="0"/>
                  <w:divBdr>
                    <w:top w:val="none" w:sz="0" w:space="0" w:color="auto"/>
                    <w:left w:val="none" w:sz="0" w:space="0" w:color="auto"/>
                    <w:bottom w:val="none" w:sz="0" w:space="0" w:color="auto"/>
                    <w:right w:val="none" w:sz="0" w:space="0" w:color="auto"/>
                  </w:divBdr>
                  <w:divsChild>
                    <w:div w:id="1013796757">
                      <w:marLeft w:val="0"/>
                      <w:marRight w:val="0"/>
                      <w:marTop w:val="0"/>
                      <w:marBottom w:val="0"/>
                      <w:divBdr>
                        <w:top w:val="none" w:sz="0" w:space="0" w:color="auto"/>
                        <w:left w:val="none" w:sz="0" w:space="0" w:color="auto"/>
                        <w:bottom w:val="none" w:sz="0" w:space="0" w:color="auto"/>
                        <w:right w:val="none" w:sz="0" w:space="0" w:color="auto"/>
                      </w:divBdr>
                    </w:div>
                  </w:divsChild>
                </w:div>
                <w:div w:id="1016422881">
                  <w:marLeft w:val="0"/>
                  <w:marRight w:val="0"/>
                  <w:marTop w:val="0"/>
                  <w:marBottom w:val="0"/>
                  <w:divBdr>
                    <w:top w:val="none" w:sz="0" w:space="0" w:color="auto"/>
                    <w:left w:val="none" w:sz="0" w:space="0" w:color="auto"/>
                    <w:bottom w:val="none" w:sz="0" w:space="0" w:color="auto"/>
                    <w:right w:val="none" w:sz="0" w:space="0" w:color="auto"/>
                  </w:divBdr>
                  <w:divsChild>
                    <w:div w:id="544372973">
                      <w:marLeft w:val="0"/>
                      <w:marRight w:val="0"/>
                      <w:marTop w:val="0"/>
                      <w:marBottom w:val="0"/>
                      <w:divBdr>
                        <w:top w:val="none" w:sz="0" w:space="0" w:color="auto"/>
                        <w:left w:val="none" w:sz="0" w:space="0" w:color="auto"/>
                        <w:bottom w:val="none" w:sz="0" w:space="0" w:color="auto"/>
                        <w:right w:val="none" w:sz="0" w:space="0" w:color="auto"/>
                      </w:divBdr>
                    </w:div>
                  </w:divsChild>
                </w:div>
                <w:div w:id="1021781837">
                  <w:marLeft w:val="0"/>
                  <w:marRight w:val="0"/>
                  <w:marTop w:val="0"/>
                  <w:marBottom w:val="0"/>
                  <w:divBdr>
                    <w:top w:val="none" w:sz="0" w:space="0" w:color="auto"/>
                    <w:left w:val="none" w:sz="0" w:space="0" w:color="auto"/>
                    <w:bottom w:val="none" w:sz="0" w:space="0" w:color="auto"/>
                    <w:right w:val="none" w:sz="0" w:space="0" w:color="auto"/>
                  </w:divBdr>
                  <w:divsChild>
                    <w:div w:id="978651952">
                      <w:marLeft w:val="0"/>
                      <w:marRight w:val="0"/>
                      <w:marTop w:val="0"/>
                      <w:marBottom w:val="0"/>
                      <w:divBdr>
                        <w:top w:val="none" w:sz="0" w:space="0" w:color="auto"/>
                        <w:left w:val="none" w:sz="0" w:space="0" w:color="auto"/>
                        <w:bottom w:val="none" w:sz="0" w:space="0" w:color="auto"/>
                        <w:right w:val="none" w:sz="0" w:space="0" w:color="auto"/>
                      </w:divBdr>
                    </w:div>
                  </w:divsChild>
                </w:div>
                <w:div w:id="1021934713">
                  <w:marLeft w:val="0"/>
                  <w:marRight w:val="0"/>
                  <w:marTop w:val="0"/>
                  <w:marBottom w:val="0"/>
                  <w:divBdr>
                    <w:top w:val="none" w:sz="0" w:space="0" w:color="auto"/>
                    <w:left w:val="none" w:sz="0" w:space="0" w:color="auto"/>
                    <w:bottom w:val="none" w:sz="0" w:space="0" w:color="auto"/>
                    <w:right w:val="none" w:sz="0" w:space="0" w:color="auto"/>
                  </w:divBdr>
                  <w:divsChild>
                    <w:div w:id="636373793">
                      <w:marLeft w:val="0"/>
                      <w:marRight w:val="0"/>
                      <w:marTop w:val="0"/>
                      <w:marBottom w:val="0"/>
                      <w:divBdr>
                        <w:top w:val="none" w:sz="0" w:space="0" w:color="auto"/>
                        <w:left w:val="none" w:sz="0" w:space="0" w:color="auto"/>
                        <w:bottom w:val="none" w:sz="0" w:space="0" w:color="auto"/>
                        <w:right w:val="none" w:sz="0" w:space="0" w:color="auto"/>
                      </w:divBdr>
                    </w:div>
                  </w:divsChild>
                </w:div>
                <w:div w:id="1061514346">
                  <w:marLeft w:val="0"/>
                  <w:marRight w:val="0"/>
                  <w:marTop w:val="0"/>
                  <w:marBottom w:val="0"/>
                  <w:divBdr>
                    <w:top w:val="none" w:sz="0" w:space="0" w:color="auto"/>
                    <w:left w:val="none" w:sz="0" w:space="0" w:color="auto"/>
                    <w:bottom w:val="none" w:sz="0" w:space="0" w:color="auto"/>
                    <w:right w:val="none" w:sz="0" w:space="0" w:color="auto"/>
                  </w:divBdr>
                  <w:divsChild>
                    <w:div w:id="1998339204">
                      <w:marLeft w:val="0"/>
                      <w:marRight w:val="0"/>
                      <w:marTop w:val="0"/>
                      <w:marBottom w:val="0"/>
                      <w:divBdr>
                        <w:top w:val="none" w:sz="0" w:space="0" w:color="auto"/>
                        <w:left w:val="none" w:sz="0" w:space="0" w:color="auto"/>
                        <w:bottom w:val="none" w:sz="0" w:space="0" w:color="auto"/>
                        <w:right w:val="none" w:sz="0" w:space="0" w:color="auto"/>
                      </w:divBdr>
                    </w:div>
                  </w:divsChild>
                </w:div>
                <w:div w:id="1083523916">
                  <w:marLeft w:val="0"/>
                  <w:marRight w:val="0"/>
                  <w:marTop w:val="0"/>
                  <w:marBottom w:val="0"/>
                  <w:divBdr>
                    <w:top w:val="none" w:sz="0" w:space="0" w:color="auto"/>
                    <w:left w:val="none" w:sz="0" w:space="0" w:color="auto"/>
                    <w:bottom w:val="none" w:sz="0" w:space="0" w:color="auto"/>
                    <w:right w:val="none" w:sz="0" w:space="0" w:color="auto"/>
                  </w:divBdr>
                  <w:divsChild>
                    <w:div w:id="378869309">
                      <w:marLeft w:val="0"/>
                      <w:marRight w:val="0"/>
                      <w:marTop w:val="0"/>
                      <w:marBottom w:val="0"/>
                      <w:divBdr>
                        <w:top w:val="none" w:sz="0" w:space="0" w:color="auto"/>
                        <w:left w:val="none" w:sz="0" w:space="0" w:color="auto"/>
                        <w:bottom w:val="none" w:sz="0" w:space="0" w:color="auto"/>
                        <w:right w:val="none" w:sz="0" w:space="0" w:color="auto"/>
                      </w:divBdr>
                    </w:div>
                  </w:divsChild>
                </w:div>
                <w:div w:id="1107389301">
                  <w:marLeft w:val="0"/>
                  <w:marRight w:val="0"/>
                  <w:marTop w:val="0"/>
                  <w:marBottom w:val="0"/>
                  <w:divBdr>
                    <w:top w:val="none" w:sz="0" w:space="0" w:color="auto"/>
                    <w:left w:val="none" w:sz="0" w:space="0" w:color="auto"/>
                    <w:bottom w:val="none" w:sz="0" w:space="0" w:color="auto"/>
                    <w:right w:val="none" w:sz="0" w:space="0" w:color="auto"/>
                  </w:divBdr>
                  <w:divsChild>
                    <w:div w:id="2070955261">
                      <w:marLeft w:val="0"/>
                      <w:marRight w:val="0"/>
                      <w:marTop w:val="0"/>
                      <w:marBottom w:val="0"/>
                      <w:divBdr>
                        <w:top w:val="none" w:sz="0" w:space="0" w:color="auto"/>
                        <w:left w:val="none" w:sz="0" w:space="0" w:color="auto"/>
                        <w:bottom w:val="none" w:sz="0" w:space="0" w:color="auto"/>
                        <w:right w:val="none" w:sz="0" w:space="0" w:color="auto"/>
                      </w:divBdr>
                    </w:div>
                  </w:divsChild>
                </w:div>
                <w:div w:id="1139152191">
                  <w:marLeft w:val="0"/>
                  <w:marRight w:val="0"/>
                  <w:marTop w:val="0"/>
                  <w:marBottom w:val="0"/>
                  <w:divBdr>
                    <w:top w:val="none" w:sz="0" w:space="0" w:color="auto"/>
                    <w:left w:val="none" w:sz="0" w:space="0" w:color="auto"/>
                    <w:bottom w:val="none" w:sz="0" w:space="0" w:color="auto"/>
                    <w:right w:val="none" w:sz="0" w:space="0" w:color="auto"/>
                  </w:divBdr>
                  <w:divsChild>
                    <w:div w:id="314339294">
                      <w:marLeft w:val="0"/>
                      <w:marRight w:val="0"/>
                      <w:marTop w:val="0"/>
                      <w:marBottom w:val="0"/>
                      <w:divBdr>
                        <w:top w:val="none" w:sz="0" w:space="0" w:color="auto"/>
                        <w:left w:val="none" w:sz="0" w:space="0" w:color="auto"/>
                        <w:bottom w:val="none" w:sz="0" w:space="0" w:color="auto"/>
                        <w:right w:val="none" w:sz="0" w:space="0" w:color="auto"/>
                      </w:divBdr>
                    </w:div>
                  </w:divsChild>
                </w:div>
                <w:div w:id="1153064402">
                  <w:marLeft w:val="0"/>
                  <w:marRight w:val="0"/>
                  <w:marTop w:val="0"/>
                  <w:marBottom w:val="0"/>
                  <w:divBdr>
                    <w:top w:val="none" w:sz="0" w:space="0" w:color="auto"/>
                    <w:left w:val="none" w:sz="0" w:space="0" w:color="auto"/>
                    <w:bottom w:val="none" w:sz="0" w:space="0" w:color="auto"/>
                    <w:right w:val="none" w:sz="0" w:space="0" w:color="auto"/>
                  </w:divBdr>
                  <w:divsChild>
                    <w:div w:id="1087772452">
                      <w:marLeft w:val="0"/>
                      <w:marRight w:val="0"/>
                      <w:marTop w:val="0"/>
                      <w:marBottom w:val="0"/>
                      <w:divBdr>
                        <w:top w:val="none" w:sz="0" w:space="0" w:color="auto"/>
                        <w:left w:val="none" w:sz="0" w:space="0" w:color="auto"/>
                        <w:bottom w:val="none" w:sz="0" w:space="0" w:color="auto"/>
                        <w:right w:val="none" w:sz="0" w:space="0" w:color="auto"/>
                      </w:divBdr>
                    </w:div>
                  </w:divsChild>
                </w:div>
                <w:div w:id="1174103213">
                  <w:marLeft w:val="0"/>
                  <w:marRight w:val="0"/>
                  <w:marTop w:val="0"/>
                  <w:marBottom w:val="0"/>
                  <w:divBdr>
                    <w:top w:val="none" w:sz="0" w:space="0" w:color="auto"/>
                    <w:left w:val="none" w:sz="0" w:space="0" w:color="auto"/>
                    <w:bottom w:val="none" w:sz="0" w:space="0" w:color="auto"/>
                    <w:right w:val="none" w:sz="0" w:space="0" w:color="auto"/>
                  </w:divBdr>
                  <w:divsChild>
                    <w:div w:id="1498037024">
                      <w:marLeft w:val="0"/>
                      <w:marRight w:val="0"/>
                      <w:marTop w:val="0"/>
                      <w:marBottom w:val="0"/>
                      <w:divBdr>
                        <w:top w:val="none" w:sz="0" w:space="0" w:color="auto"/>
                        <w:left w:val="none" w:sz="0" w:space="0" w:color="auto"/>
                        <w:bottom w:val="none" w:sz="0" w:space="0" w:color="auto"/>
                        <w:right w:val="none" w:sz="0" w:space="0" w:color="auto"/>
                      </w:divBdr>
                    </w:div>
                  </w:divsChild>
                </w:div>
                <w:div w:id="1195073503">
                  <w:marLeft w:val="0"/>
                  <w:marRight w:val="0"/>
                  <w:marTop w:val="0"/>
                  <w:marBottom w:val="0"/>
                  <w:divBdr>
                    <w:top w:val="none" w:sz="0" w:space="0" w:color="auto"/>
                    <w:left w:val="none" w:sz="0" w:space="0" w:color="auto"/>
                    <w:bottom w:val="none" w:sz="0" w:space="0" w:color="auto"/>
                    <w:right w:val="none" w:sz="0" w:space="0" w:color="auto"/>
                  </w:divBdr>
                  <w:divsChild>
                    <w:div w:id="2028865018">
                      <w:marLeft w:val="0"/>
                      <w:marRight w:val="0"/>
                      <w:marTop w:val="0"/>
                      <w:marBottom w:val="0"/>
                      <w:divBdr>
                        <w:top w:val="none" w:sz="0" w:space="0" w:color="auto"/>
                        <w:left w:val="none" w:sz="0" w:space="0" w:color="auto"/>
                        <w:bottom w:val="none" w:sz="0" w:space="0" w:color="auto"/>
                        <w:right w:val="none" w:sz="0" w:space="0" w:color="auto"/>
                      </w:divBdr>
                    </w:div>
                  </w:divsChild>
                </w:div>
                <w:div w:id="1201628215">
                  <w:marLeft w:val="0"/>
                  <w:marRight w:val="0"/>
                  <w:marTop w:val="0"/>
                  <w:marBottom w:val="0"/>
                  <w:divBdr>
                    <w:top w:val="none" w:sz="0" w:space="0" w:color="auto"/>
                    <w:left w:val="none" w:sz="0" w:space="0" w:color="auto"/>
                    <w:bottom w:val="none" w:sz="0" w:space="0" w:color="auto"/>
                    <w:right w:val="none" w:sz="0" w:space="0" w:color="auto"/>
                  </w:divBdr>
                  <w:divsChild>
                    <w:div w:id="808594607">
                      <w:marLeft w:val="0"/>
                      <w:marRight w:val="0"/>
                      <w:marTop w:val="0"/>
                      <w:marBottom w:val="0"/>
                      <w:divBdr>
                        <w:top w:val="none" w:sz="0" w:space="0" w:color="auto"/>
                        <w:left w:val="none" w:sz="0" w:space="0" w:color="auto"/>
                        <w:bottom w:val="none" w:sz="0" w:space="0" w:color="auto"/>
                        <w:right w:val="none" w:sz="0" w:space="0" w:color="auto"/>
                      </w:divBdr>
                    </w:div>
                  </w:divsChild>
                </w:div>
                <w:div w:id="1202522273">
                  <w:marLeft w:val="0"/>
                  <w:marRight w:val="0"/>
                  <w:marTop w:val="0"/>
                  <w:marBottom w:val="0"/>
                  <w:divBdr>
                    <w:top w:val="none" w:sz="0" w:space="0" w:color="auto"/>
                    <w:left w:val="none" w:sz="0" w:space="0" w:color="auto"/>
                    <w:bottom w:val="none" w:sz="0" w:space="0" w:color="auto"/>
                    <w:right w:val="none" w:sz="0" w:space="0" w:color="auto"/>
                  </w:divBdr>
                  <w:divsChild>
                    <w:div w:id="1352220862">
                      <w:marLeft w:val="0"/>
                      <w:marRight w:val="0"/>
                      <w:marTop w:val="0"/>
                      <w:marBottom w:val="0"/>
                      <w:divBdr>
                        <w:top w:val="none" w:sz="0" w:space="0" w:color="auto"/>
                        <w:left w:val="none" w:sz="0" w:space="0" w:color="auto"/>
                        <w:bottom w:val="none" w:sz="0" w:space="0" w:color="auto"/>
                        <w:right w:val="none" w:sz="0" w:space="0" w:color="auto"/>
                      </w:divBdr>
                    </w:div>
                  </w:divsChild>
                </w:div>
                <w:div w:id="1384718350">
                  <w:marLeft w:val="0"/>
                  <w:marRight w:val="0"/>
                  <w:marTop w:val="0"/>
                  <w:marBottom w:val="0"/>
                  <w:divBdr>
                    <w:top w:val="none" w:sz="0" w:space="0" w:color="auto"/>
                    <w:left w:val="none" w:sz="0" w:space="0" w:color="auto"/>
                    <w:bottom w:val="none" w:sz="0" w:space="0" w:color="auto"/>
                    <w:right w:val="none" w:sz="0" w:space="0" w:color="auto"/>
                  </w:divBdr>
                  <w:divsChild>
                    <w:div w:id="1024138518">
                      <w:marLeft w:val="0"/>
                      <w:marRight w:val="0"/>
                      <w:marTop w:val="0"/>
                      <w:marBottom w:val="0"/>
                      <w:divBdr>
                        <w:top w:val="none" w:sz="0" w:space="0" w:color="auto"/>
                        <w:left w:val="none" w:sz="0" w:space="0" w:color="auto"/>
                        <w:bottom w:val="none" w:sz="0" w:space="0" w:color="auto"/>
                        <w:right w:val="none" w:sz="0" w:space="0" w:color="auto"/>
                      </w:divBdr>
                    </w:div>
                  </w:divsChild>
                </w:div>
                <w:div w:id="1437673579">
                  <w:marLeft w:val="0"/>
                  <w:marRight w:val="0"/>
                  <w:marTop w:val="0"/>
                  <w:marBottom w:val="0"/>
                  <w:divBdr>
                    <w:top w:val="none" w:sz="0" w:space="0" w:color="auto"/>
                    <w:left w:val="none" w:sz="0" w:space="0" w:color="auto"/>
                    <w:bottom w:val="none" w:sz="0" w:space="0" w:color="auto"/>
                    <w:right w:val="none" w:sz="0" w:space="0" w:color="auto"/>
                  </w:divBdr>
                  <w:divsChild>
                    <w:div w:id="1670403303">
                      <w:marLeft w:val="0"/>
                      <w:marRight w:val="0"/>
                      <w:marTop w:val="0"/>
                      <w:marBottom w:val="0"/>
                      <w:divBdr>
                        <w:top w:val="none" w:sz="0" w:space="0" w:color="auto"/>
                        <w:left w:val="none" w:sz="0" w:space="0" w:color="auto"/>
                        <w:bottom w:val="none" w:sz="0" w:space="0" w:color="auto"/>
                        <w:right w:val="none" w:sz="0" w:space="0" w:color="auto"/>
                      </w:divBdr>
                    </w:div>
                  </w:divsChild>
                </w:div>
                <w:div w:id="1467356481">
                  <w:marLeft w:val="0"/>
                  <w:marRight w:val="0"/>
                  <w:marTop w:val="0"/>
                  <w:marBottom w:val="0"/>
                  <w:divBdr>
                    <w:top w:val="none" w:sz="0" w:space="0" w:color="auto"/>
                    <w:left w:val="none" w:sz="0" w:space="0" w:color="auto"/>
                    <w:bottom w:val="none" w:sz="0" w:space="0" w:color="auto"/>
                    <w:right w:val="none" w:sz="0" w:space="0" w:color="auto"/>
                  </w:divBdr>
                  <w:divsChild>
                    <w:div w:id="800805202">
                      <w:marLeft w:val="0"/>
                      <w:marRight w:val="0"/>
                      <w:marTop w:val="0"/>
                      <w:marBottom w:val="0"/>
                      <w:divBdr>
                        <w:top w:val="none" w:sz="0" w:space="0" w:color="auto"/>
                        <w:left w:val="none" w:sz="0" w:space="0" w:color="auto"/>
                        <w:bottom w:val="none" w:sz="0" w:space="0" w:color="auto"/>
                        <w:right w:val="none" w:sz="0" w:space="0" w:color="auto"/>
                      </w:divBdr>
                    </w:div>
                  </w:divsChild>
                </w:div>
                <w:div w:id="1523663749">
                  <w:marLeft w:val="0"/>
                  <w:marRight w:val="0"/>
                  <w:marTop w:val="0"/>
                  <w:marBottom w:val="0"/>
                  <w:divBdr>
                    <w:top w:val="none" w:sz="0" w:space="0" w:color="auto"/>
                    <w:left w:val="none" w:sz="0" w:space="0" w:color="auto"/>
                    <w:bottom w:val="none" w:sz="0" w:space="0" w:color="auto"/>
                    <w:right w:val="none" w:sz="0" w:space="0" w:color="auto"/>
                  </w:divBdr>
                  <w:divsChild>
                    <w:div w:id="547376482">
                      <w:marLeft w:val="0"/>
                      <w:marRight w:val="0"/>
                      <w:marTop w:val="0"/>
                      <w:marBottom w:val="0"/>
                      <w:divBdr>
                        <w:top w:val="none" w:sz="0" w:space="0" w:color="auto"/>
                        <w:left w:val="none" w:sz="0" w:space="0" w:color="auto"/>
                        <w:bottom w:val="none" w:sz="0" w:space="0" w:color="auto"/>
                        <w:right w:val="none" w:sz="0" w:space="0" w:color="auto"/>
                      </w:divBdr>
                    </w:div>
                  </w:divsChild>
                </w:div>
                <w:div w:id="1549611130">
                  <w:marLeft w:val="0"/>
                  <w:marRight w:val="0"/>
                  <w:marTop w:val="0"/>
                  <w:marBottom w:val="0"/>
                  <w:divBdr>
                    <w:top w:val="none" w:sz="0" w:space="0" w:color="auto"/>
                    <w:left w:val="none" w:sz="0" w:space="0" w:color="auto"/>
                    <w:bottom w:val="none" w:sz="0" w:space="0" w:color="auto"/>
                    <w:right w:val="none" w:sz="0" w:space="0" w:color="auto"/>
                  </w:divBdr>
                  <w:divsChild>
                    <w:div w:id="1635059995">
                      <w:marLeft w:val="0"/>
                      <w:marRight w:val="0"/>
                      <w:marTop w:val="0"/>
                      <w:marBottom w:val="0"/>
                      <w:divBdr>
                        <w:top w:val="none" w:sz="0" w:space="0" w:color="auto"/>
                        <w:left w:val="none" w:sz="0" w:space="0" w:color="auto"/>
                        <w:bottom w:val="none" w:sz="0" w:space="0" w:color="auto"/>
                        <w:right w:val="none" w:sz="0" w:space="0" w:color="auto"/>
                      </w:divBdr>
                    </w:div>
                  </w:divsChild>
                </w:div>
                <w:div w:id="1555431596">
                  <w:marLeft w:val="0"/>
                  <w:marRight w:val="0"/>
                  <w:marTop w:val="0"/>
                  <w:marBottom w:val="0"/>
                  <w:divBdr>
                    <w:top w:val="none" w:sz="0" w:space="0" w:color="auto"/>
                    <w:left w:val="none" w:sz="0" w:space="0" w:color="auto"/>
                    <w:bottom w:val="none" w:sz="0" w:space="0" w:color="auto"/>
                    <w:right w:val="none" w:sz="0" w:space="0" w:color="auto"/>
                  </w:divBdr>
                  <w:divsChild>
                    <w:div w:id="1820419498">
                      <w:marLeft w:val="0"/>
                      <w:marRight w:val="0"/>
                      <w:marTop w:val="0"/>
                      <w:marBottom w:val="0"/>
                      <w:divBdr>
                        <w:top w:val="none" w:sz="0" w:space="0" w:color="auto"/>
                        <w:left w:val="none" w:sz="0" w:space="0" w:color="auto"/>
                        <w:bottom w:val="none" w:sz="0" w:space="0" w:color="auto"/>
                        <w:right w:val="none" w:sz="0" w:space="0" w:color="auto"/>
                      </w:divBdr>
                    </w:div>
                  </w:divsChild>
                </w:div>
                <w:div w:id="1564102269">
                  <w:marLeft w:val="0"/>
                  <w:marRight w:val="0"/>
                  <w:marTop w:val="0"/>
                  <w:marBottom w:val="0"/>
                  <w:divBdr>
                    <w:top w:val="none" w:sz="0" w:space="0" w:color="auto"/>
                    <w:left w:val="none" w:sz="0" w:space="0" w:color="auto"/>
                    <w:bottom w:val="none" w:sz="0" w:space="0" w:color="auto"/>
                    <w:right w:val="none" w:sz="0" w:space="0" w:color="auto"/>
                  </w:divBdr>
                  <w:divsChild>
                    <w:div w:id="1962608930">
                      <w:marLeft w:val="0"/>
                      <w:marRight w:val="0"/>
                      <w:marTop w:val="0"/>
                      <w:marBottom w:val="0"/>
                      <w:divBdr>
                        <w:top w:val="none" w:sz="0" w:space="0" w:color="auto"/>
                        <w:left w:val="none" w:sz="0" w:space="0" w:color="auto"/>
                        <w:bottom w:val="none" w:sz="0" w:space="0" w:color="auto"/>
                        <w:right w:val="none" w:sz="0" w:space="0" w:color="auto"/>
                      </w:divBdr>
                    </w:div>
                  </w:divsChild>
                </w:div>
                <w:div w:id="1595047785">
                  <w:marLeft w:val="0"/>
                  <w:marRight w:val="0"/>
                  <w:marTop w:val="0"/>
                  <w:marBottom w:val="0"/>
                  <w:divBdr>
                    <w:top w:val="none" w:sz="0" w:space="0" w:color="auto"/>
                    <w:left w:val="none" w:sz="0" w:space="0" w:color="auto"/>
                    <w:bottom w:val="none" w:sz="0" w:space="0" w:color="auto"/>
                    <w:right w:val="none" w:sz="0" w:space="0" w:color="auto"/>
                  </w:divBdr>
                  <w:divsChild>
                    <w:div w:id="779378690">
                      <w:marLeft w:val="0"/>
                      <w:marRight w:val="0"/>
                      <w:marTop w:val="0"/>
                      <w:marBottom w:val="0"/>
                      <w:divBdr>
                        <w:top w:val="none" w:sz="0" w:space="0" w:color="auto"/>
                        <w:left w:val="none" w:sz="0" w:space="0" w:color="auto"/>
                        <w:bottom w:val="none" w:sz="0" w:space="0" w:color="auto"/>
                        <w:right w:val="none" w:sz="0" w:space="0" w:color="auto"/>
                      </w:divBdr>
                    </w:div>
                  </w:divsChild>
                </w:div>
                <w:div w:id="1646470499">
                  <w:marLeft w:val="0"/>
                  <w:marRight w:val="0"/>
                  <w:marTop w:val="0"/>
                  <w:marBottom w:val="0"/>
                  <w:divBdr>
                    <w:top w:val="none" w:sz="0" w:space="0" w:color="auto"/>
                    <w:left w:val="none" w:sz="0" w:space="0" w:color="auto"/>
                    <w:bottom w:val="none" w:sz="0" w:space="0" w:color="auto"/>
                    <w:right w:val="none" w:sz="0" w:space="0" w:color="auto"/>
                  </w:divBdr>
                  <w:divsChild>
                    <w:div w:id="1398287028">
                      <w:marLeft w:val="0"/>
                      <w:marRight w:val="0"/>
                      <w:marTop w:val="0"/>
                      <w:marBottom w:val="0"/>
                      <w:divBdr>
                        <w:top w:val="none" w:sz="0" w:space="0" w:color="auto"/>
                        <w:left w:val="none" w:sz="0" w:space="0" w:color="auto"/>
                        <w:bottom w:val="none" w:sz="0" w:space="0" w:color="auto"/>
                        <w:right w:val="none" w:sz="0" w:space="0" w:color="auto"/>
                      </w:divBdr>
                    </w:div>
                  </w:divsChild>
                </w:div>
                <w:div w:id="1769807625">
                  <w:marLeft w:val="0"/>
                  <w:marRight w:val="0"/>
                  <w:marTop w:val="0"/>
                  <w:marBottom w:val="0"/>
                  <w:divBdr>
                    <w:top w:val="none" w:sz="0" w:space="0" w:color="auto"/>
                    <w:left w:val="none" w:sz="0" w:space="0" w:color="auto"/>
                    <w:bottom w:val="none" w:sz="0" w:space="0" w:color="auto"/>
                    <w:right w:val="none" w:sz="0" w:space="0" w:color="auto"/>
                  </w:divBdr>
                  <w:divsChild>
                    <w:div w:id="1741639345">
                      <w:marLeft w:val="0"/>
                      <w:marRight w:val="0"/>
                      <w:marTop w:val="0"/>
                      <w:marBottom w:val="0"/>
                      <w:divBdr>
                        <w:top w:val="none" w:sz="0" w:space="0" w:color="auto"/>
                        <w:left w:val="none" w:sz="0" w:space="0" w:color="auto"/>
                        <w:bottom w:val="none" w:sz="0" w:space="0" w:color="auto"/>
                        <w:right w:val="none" w:sz="0" w:space="0" w:color="auto"/>
                      </w:divBdr>
                    </w:div>
                  </w:divsChild>
                </w:div>
                <w:div w:id="1781532296">
                  <w:marLeft w:val="0"/>
                  <w:marRight w:val="0"/>
                  <w:marTop w:val="0"/>
                  <w:marBottom w:val="0"/>
                  <w:divBdr>
                    <w:top w:val="none" w:sz="0" w:space="0" w:color="auto"/>
                    <w:left w:val="none" w:sz="0" w:space="0" w:color="auto"/>
                    <w:bottom w:val="none" w:sz="0" w:space="0" w:color="auto"/>
                    <w:right w:val="none" w:sz="0" w:space="0" w:color="auto"/>
                  </w:divBdr>
                  <w:divsChild>
                    <w:div w:id="353581309">
                      <w:marLeft w:val="0"/>
                      <w:marRight w:val="0"/>
                      <w:marTop w:val="0"/>
                      <w:marBottom w:val="0"/>
                      <w:divBdr>
                        <w:top w:val="none" w:sz="0" w:space="0" w:color="auto"/>
                        <w:left w:val="none" w:sz="0" w:space="0" w:color="auto"/>
                        <w:bottom w:val="none" w:sz="0" w:space="0" w:color="auto"/>
                        <w:right w:val="none" w:sz="0" w:space="0" w:color="auto"/>
                      </w:divBdr>
                    </w:div>
                  </w:divsChild>
                </w:div>
                <w:div w:id="1793933763">
                  <w:marLeft w:val="0"/>
                  <w:marRight w:val="0"/>
                  <w:marTop w:val="0"/>
                  <w:marBottom w:val="0"/>
                  <w:divBdr>
                    <w:top w:val="none" w:sz="0" w:space="0" w:color="auto"/>
                    <w:left w:val="none" w:sz="0" w:space="0" w:color="auto"/>
                    <w:bottom w:val="none" w:sz="0" w:space="0" w:color="auto"/>
                    <w:right w:val="none" w:sz="0" w:space="0" w:color="auto"/>
                  </w:divBdr>
                  <w:divsChild>
                    <w:div w:id="820074982">
                      <w:marLeft w:val="0"/>
                      <w:marRight w:val="0"/>
                      <w:marTop w:val="0"/>
                      <w:marBottom w:val="0"/>
                      <w:divBdr>
                        <w:top w:val="none" w:sz="0" w:space="0" w:color="auto"/>
                        <w:left w:val="none" w:sz="0" w:space="0" w:color="auto"/>
                        <w:bottom w:val="none" w:sz="0" w:space="0" w:color="auto"/>
                        <w:right w:val="none" w:sz="0" w:space="0" w:color="auto"/>
                      </w:divBdr>
                    </w:div>
                  </w:divsChild>
                </w:div>
                <w:div w:id="1837380660">
                  <w:marLeft w:val="0"/>
                  <w:marRight w:val="0"/>
                  <w:marTop w:val="0"/>
                  <w:marBottom w:val="0"/>
                  <w:divBdr>
                    <w:top w:val="none" w:sz="0" w:space="0" w:color="auto"/>
                    <w:left w:val="none" w:sz="0" w:space="0" w:color="auto"/>
                    <w:bottom w:val="none" w:sz="0" w:space="0" w:color="auto"/>
                    <w:right w:val="none" w:sz="0" w:space="0" w:color="auto"/>
                  </w:divBdr>
                  <w:divsChild>
                    <w:div w:id="536158924">
                      <w:marLeft w:val="0"/>
                      <w:marRight w:val="0"/>
                      <w:marTop w:val="0"/>
                      <w:marBottom w:val="0"/>
                      <w:divBdr>
                        <w:top w:val="none" w:sz="0" w:space="0" w:color="auto"/>
                        <w:left w:val="none" w:sz="0" w:space="0" w:color="auto"/>
                        <w:bottom w:val="none" w:sz="0" w:space="0" w:color="auto"/>
                        <w:right w:val="none" w:sz="0" w:space="0" w:color="auto"/>
                      </w:divBdr>
                    </w:div>
                  </w:divsChild>
                </w:div>
                <w:div w:id="1865627252">
                  <w:marLeft w:val="0"/>
                  <w:marRight w:val="0"/>
                  <w:marTop w:val="0"/>
                  <w:marBottom w:val="0"/>
                  <w:divBdr>
                    <w:top w:val="none" w:sz="0" w:space="0" w:color="auto"/>
                    <w:left w:val="none" w:sz="0" w:space="0" w:color="auto"/>
                    <w:bottom w:val="none" w:sz="0" w:space="0" w:color="auto"/>
                    <w:right w:val="none" w:sz="0" w:space="0" w:color="auto"/>
                  </w:divBdr>
                  <w:divsChild>
                    <w:div w:id="1312826090">
                      <w:marLeft w:val="0"/>
                      <w:marRight w:val="0"/>
                      <w:marTop w:val="0"/>
                      <w:marBottom w:val="0"/>
                      <w:divBdr>
                        <w:top w:val="none" w:sz="0" w:space="0" w:color="auto"/>
                        <w:left w:val="none" w:sz="0" w:space="0" w:color="auto"/>
                        <w:bottom w:val="none" w:sz="0" w:space="0" w:color="auto"/>
                        <w:right w:val="none" w:sz="0" w:space="0" w:color="auto"/>
                      </w:divBdr>
                    </w:div>
                  </w:divsChild>
                </w:div>
                <w:div w:id="1934588314">
                  <w:marLeft w:val="0"/>
                  <w:marRight w:val="0"/>
                  <w:marTop w:val="0"/>
                  <w:marBottom w:val="0"/>
                  <w:divBdr>
                    <w:top w:val="none" w:sz="0" w:space="0" w:color="auto"/>
                    <w:left w:val="none" w:sz="0" w:space="0" w:color="auto"/>
                    <w:bottom w:val="none" w:sz="0" w:space="0" w:color="auto"/>
                    <w:right w:val="none" w:sz="0" w:space="0" w:color="auto"/>
                  </w:divBdr>
                  <w:divsChild>
                    <w:div w:id="461733513">
                      <w:marLeft w:val="0"/>
                      <w:marRight w:val="0"/>
                      <w:marTop w:val="0"/>
                      <w:marBottom w:val="0"/>
                      <w:divBdr>
                        <w:top w:val="none" w:sz="0" w:space="0" w:color="auto"/>
                        <w:left w:val="none" w:sz="0" w:space="0" w:color="auto"/>
                        <w:bottom w:val="none" w:sz="0" w:space="0" w:color="auto"/>
                        <w:right w:val="none" w:sz="0" w:space="0" w:color="auto"/>
                      </w:divBdr>
                    </w:div>
                  </w:divsChild>
                </w:div>
                <w:div w:id="1942950557">
                  <w:marLeft w:val="0"/>
                  <w:marRight w:val="0"/>
                  <w:marTop w:val="0"/>
                  <w:marBottom w:val="0"/>
                  <w:divBdr>
                    <w:top w:val="none" w:sz="0" w:space="0" w:color="auto"/>
                    <w:left w:val="none" w:sz="0" w:space="0" w:color="auto"/>
                    <w:bottom w:val="none" w:sz="0" w:space="0" w:color="auto"/>
                    <w:right w:val="none" w:sz="0" w:space="0" w:color="auto"/>
                  </w:divBdr>
                  <w:divsChild>
                    <w:div w:id="583149343">
                      <w:marLeft w:val="0"/>
                      <w:marRight w:val="0"/>
                      <w:marTop w:val="0"/>
                      <w:marBottom w:val="0"/>
                      <w:divBdr>
                        <w:top w:val="none" w:sz="0" w:space="0" w:color="auto"/>
                        <w:left w:val="none" w:sz="0" w:space="0" w:color="auto"/>
                        <w:bottom w:val="none" w:sz="0" w:space="0" w:color="auto"/>
                        <w:right w:val="none" w:sz="0" w:space="0" w:color="auto"/>
                      </w:divBdr>
                    </w:div>
                  </w:divsChild>
                </w:div>
                <w:div w:id="1960989917">
                  <w:marLeft w:val="0"/>
                  <w:marRight w:val="0"/>
                  <w:marTop w:val="0"/>
                  <w:marBottom w:val="0"/>
                  <w:divBdr>
                    <w:top w:val="none" w:sz="0" w:space="0" w:color="auto"/>
                    <w:left w:val="none" w:sz="0" w:space="0" w:color="auto"/>
                    <w:bottom w:val="none" w:sz="0" w:space="0" w:color="auto"/>
                    <w:right w:val="none" w:sz="0" w:space="0" w:color="auto"/>
                  </w:divBdr>
                  <w:divsChild>
                    <w:div w:id="411438985">
                      <w:marLeft w:val="0"/>
                      <w:marRight w:val="0"/>
                      <w:marTop w:val="0"/>
                      <w:marBottom w:val="0"/>
                      <w:divBdr>
                        <w:top w:val="none" w:sz="0" w:space="0" w:color="auto"/>
                        <w:left w:val="none" w:sz="0" w:space="0" w:color="auto"/>
                        <w:bottom w:val="none" w:sz="0" w:space="0" w:color="auto"/>
                        <w:right w:val="none" w:sz="0" w:space="0" w:color="auto"/>
                      </w:divBdr>
                    </w:div>
                  </w:divsChild>
                </w:div>
                <w:div w:id="1991012403">
                  <w:marLeft w:val="0"/>
                  <w:marRight w:val="0"/>
                  <w:marTop w:val="0"/>
                  <w:marBottom w:val="0"/>
                  <w:divBdr>
                    <w:top w:val="none" w:sz="0" w:space="0" w:color="auto"/>
                    <w:left w:val="none" w:sz="0" w:space="0" w:color="auto"/>
                    <w:bottom w:val="none" w:sz="0" w:space="0" w:color="auto"/>
                    <w:right w:val="none" w:sz="0" w:space="0" w:color="auto"/>
                  </w:divBdr>
                  <w:divsChild>
                    <w:div w:id="1644654189">
                      <w:marLeft w:val="0"/>
                      <w:marRight w:val="0"/>
                      <w:marTop w:val="0"/>
                      <w:marBottom w:val="0"/>
                      <w:divBdr>
                        <w:top w:val="none" w:sz="0" w:space="0" w:color="auto"/>
                        <w:left w:val="none" w:sz="0" w:space="0" w:color="auto"/>
                        <w:bottom w:val="none" w:sz="0" w:space="0" w:color="auto"/>
                        <w:right w:val="none" w:sz="0" w:space="0" w:color="auto"/>
                      </w:divBdr>
                    </w:div>
                  </w:divsChild>
                </w:div>
                <w:div w:id="2043360064">
                  <w:marLeft w:val="0"/>
                  <w:marRight w:val="0"/>
                  <w:marTop w:val="0"/>
                  <w:marBottom w:val="0"/>
                  <w:divBdr>
                    <w:top w:val="none" w:sz="0" w:space="0" w:color="auto"/>
                    <w:left w:val="none" w:sz="0" w:space="0" w:color="auto"/>
                    <w:bottom w:val="none" w:sz="0" w:space="0" w:color="auto"/>
                    <w:right w:val="none" w:sz="0" w:space="0" w:color="auto"/>
                  </w:divBdr>
                  <w:divsChild>
                    <w:div w:id="1645625125">
                      <w:marLeft w:val="0"/>
                      <w:marRight w:val="0"/>
                      <w:marTop w:val="0"/>
                      <w:marBottom w:val="0"/>
                      <w:divBdr>
                        <w:top w:val="none" w:sz="0" w:space="0" w:color="auto"/>
                        <w:left w:val="none" w:sz="0" w:space="0" w:color="auto"/>
                        <w:bottom w:val="none" w:sz="0" w:space="0" w:color="auto"/>
                        <w:right w:val="none" w:sz="0" w:space="0" w:color="auto"/>
                      </w:divBdr>
                    </w:div>
                  </w:divsChild>
                </w:div>
                <w:div w:id="2066098811">
                  <w:marLeft w:val="0"/>
                  <w:marRight w:val="0"/>
                  <w:marTop w:val="0"/>
                  <w:marBottom w:val="0"/>
                  <w:divBdr>
                    <w:top w:val="none" w:sz="0" w:space="0" w:color="auto"/>
                    <w:left w:val="none" w:sz="0" w:space="0" w:color="auto"/>
                    <w:bottom w:val="none" w:sz="0" w:space="0" w:color="auto"/>
                    <w:right w:val="none" w:sz="0" w:space="0" w:color="auto"/>
                  </w:divBdr>
                  <w:divsChild>
                    <w:div w:id="699009388">
                      <w:marLeft w:val="0"/>
                      <w:marRight w:val="0"/>
                      <w:marTop w:val="0"/>
                      <w:marBottom w:val="0"/>
                      <w:divBdr>
                        <w:top w:val="none" w:sz="0" w:space="0" w:color="auto"/>
                        <w:left w:val="none" w:sz="0" w:space="0" w:color="auto"/>
                        <w:bottom w:val="none" w:sz="0" w:space="0" w:color="auto"/>
                        <w:right w:val="none" w:sz="0" w:space="0" w:color="auto"/>
                      </w:divBdr>
                    </w:div>
                  </w:divsChild>
                </w:div>
                <w:div w:id="2102139519">
                  <w:marLeft w:val="0"/>
                  <w:marRight w:val="0"/>
                  <w:marTop w:val="0"/>
                  <w:marBottom w:val="0"/>
                  <w:divBdr>
                    <w:top w:val="none" w:sz="0" w:space="0" w:color="auto"/>
                    <w:left w:val="none" w:sz="0" w:space="0" w:color="auto"/>
                    <w:bottom w:val="none" w:sz="0" w:space="0" w:color="auto"/>
                    <w:right w:val="none" w:sz="0" w:space="0" w:color="auto"/>
                  </w:divBdr>
                  <w:divsChild>
                    <w:div w:id="13652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0809">
          <w:marLeft w:val="0"/>
          <w:marRight w:val="0"/>
          <w:marTop w:val="0"/>
          <w:marBottom w:val="0"/>
          <w:divBdr>
            <w:top w:val="none" w:sz="0" w:space="0" w:color="auto"/>
            <w:left w:val="none" w:sz="0" w:space="0" w:color="auto"/>
            <w:bottom w:val="none" w:sz="0" w:space="0" w:color="auto"/>
            <w:right w:val="none" w:sz="0" w:space="0" w:color="auto"/>
          </w:divBdr>
        </w:div>
        <w:div w:id="2030639814">
          <w:marLeft w:val="0"/>
          <w:marRight w:val="0"/>
          <w:marTop w:val="0"/>
          <w:marBottom w:val="0"/>
          <w:divBdr>
            <w:top w:val="none" w:sz="0" w:space="0" w:color="auto"/>
            <w:left w:val="none" w:sz="0" w:space="0" w:color="auto"/>
            <w:bottom w:val="none" w:sz="0" w:space="0" w:color="auto"/>
            <w:right w:val="none" w:sz="0" w:space="0" w:color="auto"/>
          </w:divBdr>
        </w:div>
      </w:divsChild>
    </w:div>
    <w:div w:id="1472749550">
      <w:bodyDiv w:val="1"/>
      <w:marLeft w:val="0"/>
      <w:marRight w:val="0"/>
      <w:marTop w:val="0"/>
      <w:marBottom w:val="0"/>
      <w:divBdr>
        <w:top w:val="none" w:sz="0" w:space="0" w:color="auto"/>
        <w:left w:val="none" w:sz="0" w:space="0" w:color="auto"/>
        <w:bottom w:val="none" w:sz="0" w:space="0" w:color="auto"/>
        <w:right w:val="none" w:sz="0" w:space="0" w:color="auto"/>
      </w:divBdr>
      <w:divsChild>
        <w:div w:id="350884396">
          <w:marLeft w:val="0"/>
          <w:marRight w:val="0"/>
          <w:marTop w:val="0"/>
          <w:marBottom w:val="0"/>
          <w:divBdr>
            <w:top w:val="none" w:sz="0" w:space="0" w:color="auto"/>
            <w:left w:val="none" w:sz="0" w:space="0" w:color="auto"/>
            <w:bottom w:val="none" w:sz="0" w:space="0" w:color="auto"/>
            <w:right w:val="none" w:sz="0" w:space="0" w:color="auto"/>
          </w:divBdr>
          <w:divsChild>
            <w:div w:id="1790516340">
              <w:marLeft w:val="0"/>
              <w:marRight w:val="0"/>
              <w:marTop w:val="0"/>
              <w:marBottom w:val="0"/>
              <w:divBdr>
                <w:top w:val="none" w:sz="0" w:space="0" w:color="auto"/>
                <w:left w:val="none" w:sz="0" w:space="0" w:color="auto"/>
                <w:bottom w:val="none" w:sz="0" w:space="0" w:color="auto"/>
                <w:right w:val="none" w:sz="0" w:space="0" w:color="auto"/>
              </w:divBdr>
            </w:div>
          </w:divsChild>
        </w:div>
        <w:div w:id="761411625">
          <w:marLeft w:val="0"/>
          <w:marRight w:val="0"/>
          <w:marTop w:val="0"/>
          <w:marBottom w:val="0"/>
          <w:divBdr>
            <w:top w:val="none" w:sz="0" w:space="0" w:color="auto"/>
            <w:left w:val="none" w:sz="0" w:space="0" w:color="auto"/>
            <w:bottom w:val="none" w:sz="0" w:space="0" w:color="auto"/>
            <w:right w:val="none" w:sz="0" w:space="0" w:color="auto"/>
          </w:divBdr>
          <w:divsChild>
            <w:div w:id="9240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15447">
      <w:bodyDiv w:val="1"/>
      <w:marLeft w:val="0"/>
      <w:marRight w:val="0"/>
      <w:marTop w:val="0"/>
      <w:marBottom w:val="0"/>
      <w:divBdr>
        <w:top w:val="none" w:sz="0" w:space="0" w:color="auto"/>
        <w:left w:val="none" w:sz="0" w:space="0" w:color="auto"/>
        <w:bottom w:val="none" w:sz="0" w:space="0" w:color="auto"/>
        <w:right w:val="none" w:sz="0" w:space="0" w:color="auto"/>
      </w:divBdr>
      <w:divsChild>
        <w:div w:id="488134608">
          <w:marLeft w:val="0"/>
          <w:marRight w:val="0"/>
          <w:marTop w:val="0"/>
          <w:marBottom w:val="0"/>
          <w:divBdr>
            <w:top w:val="none" w:sz="0" w:space="0" w:color="auto"/>
            <w:left w:val="none" w:sz="0" w:space="0" w:color="auto"/>
            <w:bottom w:val="none" w:sz="0" w:space="0" w:color="auto"/>
            <w:right w:val="none" w:sz="0" w:space="0" w:color="auto"/>
          </w:divBdr>
        </w:div>
        <w:div w:id="1242789460">
          <w:marLeft w:val="0"/>
          <w:marRight w:val="0"/>
          <w:marTop w:val="0"/>
          <w:marBottom w:val="0"/>
          <w:divBdr>
            <w:top w:val="none" w:sz="0" w:space="0" w:color="auto"/>
            <w:left w:val="none" w:sz="0" w:space="0" w:color="auto"/>
            <w:bottom w:val="none" w:sz="0" w:space="0" w:color="auto"/>
            <w:right w:val="none" w:sz="0" w:space="0" w:color="auto"/>
          </w:divBdr>
        </w:div>
        <w:div w:id="1305889018">
          <w:marLeft w:val="0"/>
          <w:marRight w:val="0"/>
          <w:marTop w:val="0"/>
          <w:marBottom w:val="0"/>
          <w:divBdr>
            <w:top w:val="none" w:sz="0" w:space="0" w:color="auto"/>
            <w:left w:val="none" w:sz="0" w:space="0" w:color="auto"/>
            <w:bottom w:val="none" w:sz="0" w:space="0" w:color="auto"/>
            <w:right w:val="none" w:sz="0" w:space="0" w:color="auto"/>
          </w:divBdr>
        </w:div>
        <w:div w:id="2055503594">
          <w:marLeft w:val="0"/>
          <w:marRight w:val="0"/>
          <w:marTop w:val="0"/>
          <w:marBottom w:val="0"/>
          <w:divBdr>
            <w:top w:val="none" w:sz="0" w:space="0" w:color="auto"/>
            <w:left w:val="none" w:sz="0" w:space="0" w:color="auto"/>
            <w:bottom w:val="none" w:sz="0" w:space="0" w:color="auto"/>
            <w:right w:val="none" w:sz="0" w:space="0" w:color="auto"/>
          </w:divBdr>
        </w:div>
      </w:divsChild>
    </w:div>
    <w:div w:id="20792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opacifichealthsecurity.dfat.gov.au/sites/default/files/2023-02/DFAT%20Partnerships%20for%20a%20Healthy%20Region%20-%20Provisional%20program%20logic.pdf" TargetMode="External"/><Relationship Id="rId18" Type="http://schemas.openxmlformats.org/officeDocument/2006/relationships/hyperlink" Target="https://www.dfat.gov.au/sites/default/files/ethical-research-evaluation-guidance-not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fat.gov.au/sites/default/files/dfat-design-monitoring-evaluation-learning-standards.pdf" TargetMode="External"/><Relationship Id="rId17" Type="http://schemas.openxmlformats.org/officeDocument/2006/relationships/hyperlink" Target="https://www.dfat.gov.au/sites/default/files/ethical-research-evaluation-guidance-note.pdf" TargetMode="External"/><Relationship Id="rId2" Type="http://schemas.openxmlformats.org/officeDocument/2006/relationships/customXml" Target="../customXml/item2.xml"/><Relationship Id="rId16" Type="http://schemas.openxmlformats.org/officeDocument/2006/relationships/hyperlink" Target="https://www.dfat.gov.au/sites/default/files/disability-inclusive-development-guidance-not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opacifichealthsecurity.dfat.gov.au/sites/default/files/2023-03/DFAT%20Partnerships%20for%20a%20Healthy%20Region%20-%20Program%20Logic%20%28updated%20March%2015%202023%29.pdf" TargetMode="External"/><Relationship Id="rId5" Type="http://schemas.openxmlformats.org/officeDocument/2006/relationships/numbering" Target="numbering.xml"/><Relationship Id="rId15" Type="http://schemas.openxmlformats.org/officeDocument/2006/relationships/hyperlink" Target="https://www.dfat.gov.au/about-us/publications/Pages/gender-equality-in-monitoring-and-evaluation-good-practice-not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ites/default/files/ethical-research-evaluation-guidance-not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urke2\AppData\Local\Microsoft\Windows\INetCache\Content.Outlook\TY9QBQVU\A4-FactSheet-Blend.dotx" TargetMode="External"/></Relationships>
</file>

<file path=word/theme/theme1.xml><?xml version="1.0" encoding="utf-8"?>
<a:theme xmlns:a="http://schemas.openxmlformats.org/drawingml/2006/main" name="Office Theme">
  <a:themeElements>
    <a:clrScheme name="Custom 1">
      <a:dk1>
        <a:srgbClr val="313E48"/>
      </a:dk1>
      <a:lt1>
        <a:srgbClr val="FFFFFF"/>
      </a:lt1>
      <a:dk2>
        <a:srgbClr val="3A586E"/>
      </a:dk2>
      <a:lt2>
        <a:srgbClr val="BEBFB6"/>
      </a:lt2>
      <a:accent1>
        <a:srgbClr val="00837C"/>
      </a:accent1>
      <a:accent2>
        <a:srgbClr val="47763B"/>
      </a:accent2>
      <a:accent3>
        <a:srgbClr val="EBAB21"/>
      </a:accent3>
      <a:accent4>
        <a:srgbClr val="AA5739"/>
      </a:accent4>
      <a:accent5>
        <a:srgbClr val="075156"/>
      </a:accent5>
      <a:accent6>
        <a:srgbClr val="36573E"/>
      </a:accent6>
      <a:hlink>
        <a:srgbClr val="0563C1"/>
      </a:hlink>
      <a:folHlink>
        <a:srgbClr val="954F72"/>
      </a:folHlink>
    </a:clrScheme>
    <a:fontScheme name="DFA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e6606d-f12e-403c-b478-8793a1d190cd">
      <Terms xmlns="http://schemas.microsoft.com/office/infopath/2007/PartnerControls"/>
    </lcf76f155ced4ddcb4097134ff3c332f>
    <TaxCatchAll xmlns="2c14b980-3a59-4797-87bc-4e4d560166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313495331C84E8C222A0942F39D7C" ma:contentTypeVersion="13" ma:contentTypeDescription="Create a new document." ma:contentTypeScope="" ma:versionID="8769d52cd130ae526ef004faebf94c9e">
  <xsd:schema xmlns:xsd="http://www.w3.org/2001/XMLSchema" xmlns:xs="http://www.w3.org/2001/XMLSchema" xmlns:p="http://schemas.microsoft.com/office/2006/metadata/properties" xmlns:ns2="47e6606d-f12e-403c-b478-8793a1d190cd" xmlns:ns3="2c14b980-3a59-4797-87bc-4e4d5601662e" targetNamespace="http://schemas.microsoft.com/office/2006/metadata/properties" ma:root="true" ma:fieldsID="b3d7757a495129ac79998cafb13d6eaf" ns2:_="" ns3:_="">
    <xsd:import namespace="47e6606d-f12e-403c-b478-8793a1d190cd"/>
    <xsd:import namespace="2c14b980-3a59-4797-87bc-4e4d56016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06d-f12e-403c-b478-8793a1d1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4b980-3a59-4797-87bc-4e4d56016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30fa92-9805-4864-9384-8918fef18567}" ma:internalName="TaxCatchAll" ma:showField="CatchAllData" ma:web="2c14b980-3a59-4797-87bc-4e4d56016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AAE37-B4C5-41BD-B991-F2AB6202E0A2}">
  <ds:schemaRefs>
    <ds:schemaRef ds:uri="http://schemas.openxmlformats.org/officeDocument/2006/bibliography"/>
  </ds:schemaRefs>
</ds:datastoreItem>
</file>

<file path=customXml/itemProps2.xml><?xml version="1.0" encoding="utf-8"?>
<ds:datastoreItem xmlns:ds="http://schemas.openxmlformats.org/officeDocument/2006/customXml" ds:itemID="{05CB9B37-F080-47E0-87F6-4C7C3CFD274D}">
  <ds:schemaRefs>
    <ds:schemaRef ds:uri="47e6606d-f12e-403c-b478-8793a1d190c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c14b980-3a59-4797-87bc-4e4d5601662e"/>
    <ds:schemaRef ds:uri="http://www.w3.org/XML/1998/namespace"/>
    <ds:schemaRef ds:uri="http://purl.org/dc/dcmitype/"/>
  </ds:schemaRefs>
</ds:datastoreItem>
</file>

<file path=customXml/itemProps3.xml><?xml version="1.0" encoding="utf-8"?>
<ds:datastoreItem xmlns:ds="http://schemas.openxmlformats.org/officeDocument/2006/customXml" ds:itemID="{FB70A919-D218-41BC-A78E-019F70747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06d-f12e-403c-b478-8793a1d190cd"/>
    <ds:schemaRef ds:uri="2c14b980-3a59-4797-87bc-4e4d56016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F1A8B-60CE-444B-A265-97EDC8733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A4-FactSheet-Blend.dotx</Template>
  <TotalTime>3</TotalTime>
  <Pages>10</Pages>
  <Words>3820</Words>
  <Characters>21397</Characters>
  <Application>Microsoft Office Word</Application>
  <DocSecurity>0</DocSecurity>
  <Lines>373</Lines>
  <Paragraphs>163</Paragraphs>
  <ScaleCrop>false</ScaleCrop>
  <Company>Department of Foreign Affairs and Trade</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Partnerships for a Healthy Region - MEL Guidance Note</dc:title>
  <dc:subject/>
  <dc:creator>CHS</dc:creator>
  <cp:keywords>[SEC=OFFICIAL]</cp:keywords>
  <dc:description/>
  <cp:lastModifiedBy>Joanna Larvin</cp:lastModifiedBy>
  <cp:revision>63</cp:revision>
  <cp:lastPrinted>2023-09-27T06:37:00Z</cp:lastPrinted>
  <dcterms:created xsi:type="dcterms:W3CDTF">2023-09-21T22:41:00Z</dcterms:created>
  <dcterms:modified xsi:type="dcterms:W3CDTF">2023-09-27T06:38:00Z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b37df468-f642-41ec-b976-985b35b9308a</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3A47BB5A5F2F4A98BEED66CE8D2E37DC</vt:lpwstr>
  </property>
  <property fmtid="{D5CDD505-2E9C-101B-9397-08002B2CF9AE}" pid="11" name="PM_ProtectiveMarkingValue_Footer">
    <vt:lpwstr>OFFICIAL</vt:lpwstr>
  </property>
  <property fmtid="{D5CDD505-2E9C-101B-9397-08002B2CF9AE}" pid="12" name="PM_Originator_Hash_SHA1">
    <vt:lpwstr>5639FAB86624D21721E32CCA1D23D72B8B8FDE1C</vt:lpwstr>
  </property>
  <property fmtid="{D5CDD505-2E9C-101B-9397-08002B2CF9AE}" pid="13" name="PM_OriginationTimeStamp">
    <vt:lpwstr>2023-02-21T02:07:26Z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B9986F946D41A30B0E0E1A0178320262</vt:lpwstr>
  </property>
  <property fmtid="{D5CDD505-2E9C-101B-9397-08002B2CF9AE}" pid="23" name="PM_Hash_Salt">
    <vt:lpwstr>F5122666AED6DD80CCD7F4C54F26CC8A</vt:lpwstr>
  </property>
  <property fmtid="{D5CDD505-2E9C-101B-9397-08002B2CF9AE}" pid="24" name="PM_Hash_SHA1">
    <vt:lpwstr>E2C92C310459677122E4CB23D4EBFFC0CCB70842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_OriginatorUserAccountName_SHA256">
    <vt:lpwstr>7829EF3502B36644C0DE3DC4561FECD8B95A05BA0BB1B48FBCE4B1D48C3FE4D7</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ContentTypeId">
    <vt:lpwstr>0x01010084A313495331C84E8C222A0942F39D7C</vt:lpwstr>
  </property>
  <property fmtid="{D5CDD505-2E9C-101B-9397-08002B2CF9AE}" pid="32" name="MediaServiceImageTags">
    <vt:lpwstr/>
  </property>
  <property fmtid="{D5CDD505-2E9C-101B-9397-08002B2CF9AE}" pid="33" name="PMHMAC">
    <vt:lpwstr>v=2022.1;a=SHA256;h=4A4F0D82D8DD506990C44B2893F7D4A5FA1F99595A769BBE9FBA518ABED0DC69</vt:lpwstr>
  </property>
</Properties>
</file>