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2E47" w14:textId="0E2837C6" w:rsidR="003549F0" w:rsidRPr="004B1C7F" w:rsidRDefault="00773C52" w:rsidP="00526CE4">
      <w:pPr>
        <w:pStyle w:val="Heading1"/>
        <w:jc w:val="center"/>
        <w:rPr>
          <w:b/>
          <w:sz w:val="36"/>
          <w:szCs w:val="36"/>
        </w:rPr>
      </w:pPr>
      <w:r w:rsidRPr="004B1C7F">
        <w:rPr>
          <w:b/>
          <w:sz w:val="36"/>
          <w:szCs w:val="36"/>
        </w:rPr>
        <w:t>Partnerships for a Healthy Region</w:t>
      </w:r>
      <w:r w:rsidR="00BF5291" w:rsidRPr="004B1C7F">
        <w:rPr>
          <w:b/>
          <w:sz w:val="36"/>
          <w:szCs w:val="36"/>
        </w:rPr>
        <w:t xml:space="preserve"> – </w:t>
      </w:r>
      <w:r w:rsidR="00334FF6" w:rsidRPr="004B1C7F">
        <w:rPr>
          <w:b/>
          <w:sz w:val="36"/>
          <w:szCs w:val="36"/>
        </w:rPr>
        <w:t>Guidance</w:t>
      </w:r>
      <w:r w:rsidRPr="004B1C7F">
        <w:rPr>
          <w:b/>
          <w:sz w:val="36"/>
          <w:szCs w:val="36"/>
        </w:rPr>
        <w:t xml:space="preserve"> </w:t>
      </w:r>
      <w:r w:rsidR="00BF5291" w:rsidRPr="004B1C7F">
        <w:rPr>
          <w:b/>
          <w:sz w:val="36"/>
          <w:szCs w:val="36"/>
        </w:rPr>
        <w:t>for</w:t>
      </w:r>
      <w:r w:rsidR="00334FF6" w:rsidRPr="004B1C7F">
        <w:rPr>
          <w:b/>
          <w:sz w:val="36"/>
          <w:szCs w:val="36"/>
        </w:rPr>
        <w:t xml:space="preserve"> </w:t>
      </w:r>
      <w:r w:rsidR="00F6093D" w:rsidRPr="004B1C7F">
        <w:rPr>
          <w:b/>
          <w:sz w:val="36"/>
          <w:szCs w:val="36"/>
        </w:rPr>
        <w:t xml:space="preserve">Partner </w:t>
      </w:r>
      <w:r w:rsidRPr="004B1C7F">
        <w:rPr>
          <w:b/>
          <w:sz w:val="36"/>
          <w:szCs w:val="36"/>
        </w:rPr>
        <w:t xml:space="preserve">Progress </w:t>
      </w:r>
      <w:r w:rsidR="00F6093D" w:rsidRPr="004B1C7F">
        <w:rPr>
          <w:b/>
          <w:sz w:val="36"/>
          <w:szCs w:val="36"/>
        </w:rPr>
        <w:t>R</w:t>
      </w:r>
      <w:r w:rsidR="00016299" w:rsidRPr="004B1C7F">
        <w:rPr>
          <w:b/>
          <w:sz w:val="36"/>
          <w:szCs w:val="36"/>
        </w:rPr>
        <w:t>eporting</w:t>
      </w:r>
    </w:p>
    <w:p w14:paraId="7E92F2C2" w14:textId="1E0D88A2" w:rsidR="00BE64D8" w:rsidRPr="002F1236" w:rsidRDefault="00016299" w:rsidP="002F1236">
      <w:pPr>
        <w:pStyle w:val="Heading2"/>
        <w:spacing w:after="100"/>
        <w:jc w:val="center"/>
        <w:rPr>
          <w:sz w:val="32"/>
          <w:szCs w:val="32"/>
        </w:rPr>
      </w:pPr>
      <w:r w:rsidRPr="23AB2E8D">
        <w:rPr>
          <w:sz w:val="32"/>
          <w:szCs w:val="32"/>
        </w:rPr>
        <w:t xml:space="preserve">Partner </w:t>
      </w:r>
      <w:r w:rsidR="00122B7F" w:rsidRPr="23AB2E8D">
        <w:rPr>
          <w:sz w:val="32"/>
          <w:szCs w:val="32"/>
        </w:rPr>
        <w:t>O</w:t>
      </w:r>
      <w:r w:rsidRPr="23AB2E8D">
        <w:rPr>
          <w:sz w:val="32"/>
          <w:szCs w:val="32"/>
        </w:rPr>
        <w:t xml:space="preserve">verview </w:t>
      </w:r>
      <w:r w:rsidR="00122B7F" w:rsidRPr="23AB2E8D">
        <w:rPr>
          <w:sz w:val="32"/>
          <w:szCs w:val="32"/>
        </w:rPr>
        <w:t>F</w:t>
      </w:r>
      <w:r w:rsidRPr="23AB2E8D">
        <w:rPr>
          <w:sz w:val="32"/>
          <w:szCs w:val="32"/>
        </w:rPr>
        <w:t>orm</w:t>
      </w:r>
    </w:p>
    <w:tbl>
      <w:tblPr>
        <w:tblStyle w:val="TableGrid"/>
        <w:tblW w:w="9493" w:type="dxa"/>
        <w:tblLayout w:type="fixed"/>
        <w:tblLook w:val="04A0" w:firstRow="1" w:lastRow="0" w:firstColumn="1" w:lastColumn="0" w:noHBand="0" w:noVBand="1"/>
      </w:tblPr>
      <w:tblGrid>
        <w:gridCol w:w="1696"/>
        <w:gridCol w:w="7797"/>
      </w:tblGrid>
      <w:tr w:rsidR="00C83A7C" w14:paraId="13772577" w14:textId="77777777" w:rsidTr="004406F2">
        <w:tc>
          <w:tcPr>
            <w:tcW w:w="9493" w:type="dxa"/>
            <w:gridSpan w:val="2"/>
            <w:shd w:val="clear" w:color="auto" w:fill="F2F2F2" w:themeFill="background1" w:themeFillShade="F2"/>
          </w:tcPr>
          <w:p w14:paraId="23ABDE2D" w14:textId="6558C663" w:rsidR="00C83A7C" w:rsidRPr="00D15B1C" w:rsidRDefault="007C1F7A" w:rsidP="00DD3366">
            <w:pPr>
              <w:jc w:val="center"/>
              <w:rPr>
                <w:rFonts w:cstheme="minorHAnsi"/>
                <w:b/>
                <w:color w:val="000000" w:themeColor="text1"/>
                <w:sz w:val="20"/>
                <w:szCs w:val="20"/>
              </w:rPr>
            </w:pPr>
            <w:r w:rsidRPr="00D15B1C">
              <w:rPr>
                <w:b/>
                <w:color w:val="000000" w:themeColor="text1"/>
                <w:sz w:val="20"/>
                <w:szCs w:val="20"/>
              </w:rPr>
              <w:t>O</w:t>
            </w:r>
            <w:r w:rsidR="0091111C" w:rsidRPr="00D15B1C">
              <w:rPr>
                <w:b/>
                <w:color w:val="000000" w:themeColor="text1"/>
                <w:sz w:val="20"/>
                <w:szCs w:val="20"/>
              </w:rPr>
              <w:t>verview</w:t>
            </w:r>
          </w:p>
        </w:tc>
      </w:tr>
      <w:tr w:rsidR="00C5670A" w14:paraId="415CCD34" w14:textId="77777777" w:rsidTr="0E2DE7DC">
        <w:tc>
          <w:tcPr>
            <w:tcW w:w="9493" w:type="dxa"/>
            <w:gridSpan w:val="2"/>
          </w:tcPr>
          <w:p w14:paraId="3DB2D984" w14:textId="3FEF39F2" w:rsidR="00143EA8" w:rsidRPr="00D15B1C" w:rsidRDefault="00F6093D" w:rsidP="00732594">
            <w:pPr>
              <w:spacing w:after="120" w:line="250" w:lineRule="auto"/>
              <w:rPr>
                <w:rFonts w:cstheme="minorHAnsi"/>
                <w:color w:val="000000" w:themeColor="text1"/>
                <w:sz w:val="20"/>
                <w:szCs w:val="20"/>
              </w:rPr>
            </w:pPr>
            <w:r w:rsidRPr="00D15B1C">
              <w:rPr>
                <w:rFonts w:cstheme="minorHAnsi"/>
                <w:color w:val="000000" w:themeColor="text1"/>
                <w:sz w:val="20"/>
                <w:szCs w:val="20"/>
              </w:rPr>
              <w:t xml:space="preserve">The </w:t>
            </w:r>
            <w:r w:rsidR="00551E55" w:rsidRPr="00D15B1C">
              <w:rPr>
                <w:rFonts w:cstheme="minorHAnsi"/>
                <w:color w:val="000000" w:themeColor="text1"/>
                <w:sz w:val="20"/>
                <w:szCs w:val="20"/>
              </w:rPr>
              <w:t>Smarty Grants</w:t>
            </w:r>
            <w:r w:rsidRPr="00D15B1C">
              <w:rPr>
                <w:rFonts w:cstheme="minorHAnsi"/>
                <w:color w:val="000000" w:themeColor="text1"/>
                <w:sz w:val="20"/>
                <w:szCs w:val="20"/>
              </w:rPr>
              <w:t xml:space="preserve"> system uses t</w:t>
            </w:r>
            <w:r w:rsidR="00DA0F61" w:rsidRPr="00D15B1C">
              <w:rPr>
                <w:rFonts w:cstheme="minorHAnsi"/>
                <w:color w:val="000000" w:themeColor="text1"/>
                <w:sz w:val="20"/>
                <w:szCs w:val="20"/>
              </w:rPr>
              <w:t>hree</w:t>
            </w:r>
            <w:r w:rsidRPr="00D15B1C">
              <w:rPr>
                <w:rFonts w:cstheme="minorHAnsi"/>
                <w:color w:val="000000" w:themeColor="text1"/>
                <w:sz w:val="20"/>
                <w:szCs w:val="20"/>
              </w:rPr>
              <w:t xml:space="preserve"> forms</w:t>
            </w:r>
            <w:r w:rsidR="001F4800" w:rsidRPr="00D15B1C">
              <w:rPr>
                <w:rFonts w:cstheme="minorHAnsi"/>
                <w:color w:val="000000" w:themeColor="text1"/>
                <w:sz w:val="20"/>
                <w:szCs w:val="20"/>
              </w:rPr>
              <w:t>:</w:t>
            </w:r>
            <w:r w:rsidR="00143EA8" w:rsidRPr="00D15B1C">
              <w:rPr>
                <w:rFonts w:cstheme="minorHAnsi"/>
                <w:color w:val="000000" w:themeColor="text1"/>
                <w:sz w:val="20"/>
                <w:szCs w:val="20"/>
              </w:rPr>
              <w:t xml:space="preserve"> the Partner Overview Form (this guidance)</w:t>
            </w:r>
            <w:r w:rsidR="7B1C03E2" w:rsidRPr="00D15B1C">
              <w:rPr>
                <w:rFonts w:cstheme="minorHAnsi"/>
                <w:color w:val="000000" w:themeColor="text1"/>
                <w:sz w:val="20"/>
                <w:szCs w:val="20"/>
              </w:rPr>
              <w:t>,</w:t>
            </w:r>
            <w:r w:rsidR="00143EA8" w:rsidRPr="00D15B1C">
              <w:rPr>
                <w:rFonts w:cstheme="minorHAnsi"/>
                <w:color w:val="000000" w:themeColor="text1"/>
                <w:sz w:val="20"/>
                <w:szCs w:val="20"/>
              </w:rPr>
              <w:t xml:space="preserve"> </w:t>
            </w:r>
            <w:r w:rsidR="00DA0F61" w:rsidRPr="00D15B1C">
              <w:rPr>
                <w:rFonts w:cstheme="minorHAnsi"/>
                <w:color w:val="000000" w:themeColor="text1"/>
                <w:sz w:val="20"/>
                <w:szCs w:val="20"/>
              </w:rPr>
              <w:t xml:space="preserve">the Annual Partner Update Form </w:t>
            </w:r>
            <w:r w:rsidR="00BB5C97" w:rsidRPr="00D15B1C">
              <w:rPr>
                <w:rFonts w:cstheme="minorHAnsi"/>
                <w:color w:val="000000" w:themeColor="text1"/>
                <w:sz w:val="20"/>
                <w:szCs w:val="20"/>
              </w:rPr>
              <w:t>(reporting covering January to December each year)</w:t>
            </w:r>
            <w:r w:rsidR="60F83CA8" w:rsidRPr="00D15B1C">
              <w:rPr>
                <w:rFonts w:cstheme="minorHAnsi"/>
                <w:color w:val="000000" w:themeColor="text1"/>
                <w:sz w:val="20"/>
                <w:szCs w:val="20"/>
              </w:rPr>
              <w:t>,</w:t>
            </w:r>
            <w:r w:rsidR="00BB5C97" w:rsidRPr="00D15B1C">
              <w:rPr>
                <w:rFonts w:cstheme="minorHAnsi"/>
                <w:color w:val="000000" w:themeColor="text1"/>
                <w:sz w:val="20"/>
                <w:szCs w:val="20"/>
              </w:rPr>
              <w:t xml:space="preserve"> </w:t>
            </w:r>
            <w:r w:rsidR="00DA0F61" w:rsidRPr="00D15B1C">
              <w:rPr>
                <w:rFonts w:cstheme="minorHAnsi"/>
                <w:color w:val="000000" w:themeColor="text1"/>
                <w:sz w:val="20"/>
                <w:szCs w:val="20"/>
              </w:rPr>
              <w:t xml:space="preserve">and a Six-month </w:t>
            </w:r>
            <w:r w:rsidR="00551E55" w:rsidRPr="00D15B1C">
              <w:rPr>
                <w:rFonts w:cstheme="minorHAnsi"/>
                <w:color w:val="000000" w:themeColor="text1"/>
                <w:sz w:val="20"/>
                <w:szCs w:val="20"/>
              </w:rPr>
              <w:t xml:space="preserve">Partner </w:t>
            </w:r>
            <w:r w:rsidR="00DA0F61" w:rsidRPr="00D15B1C">
              <w:rPr>
                <w:rFonts w:cstheme="minorHAnsi"/>
                <w:color w:val="000000" w:themeColor="text1"/>
                <w:sz w:val="20"/>
                <w:szCs w:val="20"/>
              </w:rPr>
              <w:t>Update Form</w:t>
            </w:r>
            <w:r w:rsidR="00BB5C97" w:rsidRPr="00D15B1C">
              <w:rPr>
                <w:rFonts w:cstheme="minorHAnsi"/>
                <w:color w:val="000000" w:themeColor="text1"/>
                <w:sz w:val="20"/>
                <w:szCs w:val="20"/>
              </w:rPr>
              <w:t xml:space="preserve"> (</w:t>
            </w:r>
            <w:r w:rsidR="001305DE" w:rsidRPr="00D15B1C">
              <w:rPr>
                <w:rFonts w:cstheme="minorHAnsi"/>
                <w:color w:val="000000" w:themeColor="text1"/>
                <w:sz w:val="20"/>
                <w:szCs w:val="20"/>
              </w:rPr>
              <w:t>additional information required for Jan</w:t>
            </w:r>
            <w:r w:rsidR="00BE740E" w:rsidRPr="00D15B1C">
              <w:rPr>
                <w:rFonts w:cstheme="minorHAnsi"/>
                <w:color w:val="000000" w:themeColor="text1"/>
                <w:sz w:val="20"/>
                <w:szCs w:val="20"/>
              </w:rPr>
              <w:t>uary</w:t>
            </w:r>
            <w:r w:rsidR="001305DE" w:rsidRPr="00D15B1C">
              <w:rPr>
                <w:rFonts w:cstheme="minorHAnsi"/>
                <w:color w:val="000000" w:themeColor="text1"/>
                <w:sz w:val="20"/>
                <w:szCs w:val="20"/>
              </w:rPr>
              <w:t xml:space="preserve"> to July each year)</w:t>
            </w:r>
            <w:r w:rsidR="00DA0F61" w:rsidRPr="00D15B1C">
              <w:rPr>
                <w:rFonts w:cstheme="minorHAnsi"/>
                <w:color w:val="000000" w:themeColor="text1"/>
                <w:sz w:val="20"/>
                <w:szCs w:val="20"/>
              </w:rPr>
              <w:t>.</w:t>
            </w:r>
          </w:p>
          <w:p w14:paraId="13C41C67" w14:textId="47B7C0B7" w:rsidR="00943242" w:rsidRPr="00D15B1C" w:rsidRDefault="00B318BF" w:rsidP="00732594">
            <w:pPr>
              <w:spacing w:after="120" w:line="250" w:lineRule="auto"/>
              <w:rPr>
                <w:rFonts w:cstheme="minorHAnsi"/>
                <w:color w:val="000000" w:themeColor="text1"/>
                <w:sz w:val="20"/>
                <w:szCs w:val="20"/>
              </w:rPr>
            </w:pPr>
            <w:r w:rsidRPr="00D15B1C">
              <w:rPr>
                <w:rFonts w:cstheme="minorHAnsi"/>
                <w:color w:val="000000" w:themeColor="text1"/>
                <w:sz w:val="20"/>
                <w:szCs w:val="20"/>
              </w:rPr>
              <w:t>The purpose of the Partner Overview Form is to capture key project information including partner name, key contacts, organisational details, and a summary of alignment with Partnerships for a Healthy Region (PHR) outcomes and common indicators.</w:t>
            </w:r>
            <w:r w:rsidR="00FE0FFF" w:rsidRPr="00D15B1C">
              <w:rPr>
                <w:rFonts w:cstheme="minorHAnsi"/>
                <w:color w:val="000000" w:themeColor="text1"/>
                <w:sz w:val="20"/>
                <w:szCs w:val="20"/>
              </w:rPr>
              <w:t xml:space="preserve"> This form</w:t>
            </w:r>
            <w:r w:rsidR="009B5CA6" w:rsidRPr="00D15B1C">
              <w:rPr>
                <w:rFonts w:cstheme="minorHAnsi"/>
                <w:color w:val="000000" w:themeColor="text1"/>
                <w:sz w:val="20"/>
                <w:szCs w:val="20"/>
              </w:rPr>
              <w:t xml:space="preserve"> is completed once at the beginning of the funding grant and can be updated at later stages if needed. </w:t>
            </w:r>
          </w:p>
          <w:p w14:paraId="1C7A26F9" w14:textId="64A6241F" w:rsidR="00C5670A" w:rsidRPr="00D15B1C" w:rsidRDefault="00D75571" w:rsidP="00732594">
            <w:pPr>
              <w:spacing w:after="120" w:line="250" w:lineRule="auto"/>
              <w:rPr>
                <w:rFonts w:cstheme="minorHAnsi"/>
                <w:color w:val="000000" w:themeColor="text1"/>
                <w:sz w:val="20"/>
                <w:szCs w:val="20"/>
              </w:rPr>
            </w:pPr>
            <w:r>
              <w:rPr>
                <w:rFonts w:cstheme="minorHAnsi"/>
                <w:sz w:val="20"/>
                <w:szCs w:val="20"/>
                <w:shd w:val="clear" w:color="auto" w:fill="FFFFFF"/>
              </w:rPr>
              <w:t>R</w:t>
            </w:r>
            <w:r w:rsidR="00FE0FFF" w:rsidRPr="00AC5728">
              <w:rPr>
                <w:rFonts w:cstheme="minorHAnsi"/>
                <w:sz w:val="20"/>
                <w:szCs w:val="20"/>
                <w:shd w:val="clear" w:color="auto" w:fill="FFFFFF"/>
              </w:rPr>
              <w:t>esponses</w:t>
            </w:r>
            <w:r w:rsidR="009D0D8A" w:rsidRPr="00AC5728">
              <w:rPr>
                <w:rFonts w:cstheme="minorHAnsi"/>
                <w:sz w:val="20"/>
                <w:szCs w:val="20"/>
                <w:shd w:val="clear" w:color="auto" w:fill="FFFFFF"/>
              </w:rPr>
              <w:t xml:space="preserve"> in this form </w:t>
            </w:r>
            <w:r w:rsidR="00E920C5">
              <w:rPr>
                <w:rFonts w:cstheme="minorHAnsi"/>
                <w:sz w:val="20"/>
                <w:szCs w:val="20"/>
                <w:shd w:val="clear" w:color="auto" w:fill="FFFFFF"/>
              </w:rPr>
              <w:t xml:space="preserve">will be </w:t>
            </w:r>
            <w:r w:rsidR="009D0D8A" w:rsidRPr="00AC5728">
              <w:rPr>
                <w:rFonts w:cstheme="minorHAnsi"/>
                <w:sz w:val="20"/>
                <w:szCs w:val="20"/>
                <w:shd w:val="clear" w:color="auto" w:fill="FFFFFF"/>
              </w:rPr>
              <w:t xml:space="preserve">used to pre-populate </w:t>
            </w:r>
            <w:r>
              <w:rPr>
                <w:rFonts w:cstheme="minorHAnsi"/>
                <w:sz w:val="20"/>
                <w:szCs w:val="20"/>
                <w:shd w:val="clear" w:color="auto" w:fill="FFFFFF"/>
              </w:rPr>
              <w:t xml:space="preserve">both </w:t>
            </w:r>
            <w:r w:rsidR="00943242" w:rsidRPr="00AC5728">
              <w:rPr>
                <w:rFonts w:cstheme="minorHAnsi"/>
                <w:sz w:val="20"/>
                <w:szCs w:val="20"/>
                <w:shd w:val="clear" w:color="auto" w:fill="FFFFFF"/>
              </w:rPr>
              <w:t xml:space="preserve">the </w:t>
            </w:r>
            <w:r w:rsidR="00570809">
              <w:rPr>
                <w:rFonts w:cstheme="minorHAnsi"/>
                <w:sz w:val="20"/>
                <w:szCs w:val="20"/>
                <w:shd w:val="clear" w:color="auto" w:fill="FFFFFF"/>
              </w:rPr>
              <w:t>A</w:t>
            </w:r>
            <w:r w:rsidR="00943242" w:rsidRPr="00D15B1C">
              <w:rPr>
                <w:rFonts w:cstheme="minorHAnsi"/>
                <w:color w:val="000000" w:themeColor="text1"/>
                <w:sz w:val="20"/>
                <w:szCs w:val="20"/>
              </w:rPr>
              <w:t xml:space="preserve">nnual </w:t>
            </w:r>
            <w:r w:rsidR="00732594" w:rsidRPr="00D15B1C">
              <w:rPr>
                <w:rFonts w:cstheme="minorHAnsi"/>
                <w:color w:val="000000" w:themeColor="text1"/>
                <w:sz w:val="20"/>
                <w:szCs w:val="20"/>
              </w:rPr>
              <w:t xml:space="preserve">and </w:t>
            </w:r>
            <w:r w:rsidR="00570809" w:rsidRPr="00D15B1C">
              <w:rPr>
                <w:rFonts w:cstheme="minorHAnsi"/>
                <w:color w:val="000000" w:themeColor="text1"/>
                <w:sz w:val="20"/>
                <w:szCs w:val="20"/>
              </w:rPr>
              <w:t>S</w:t>
            </w:r>
            <w:r w:rsidR="00732594" w:rsidRPr="00D15B1C">
              <w:rPr>
                <w:rFonts w:cstheme="minorHAnsi"/>
                <w:color w:val="000000" w:themeColor="text1"/>
                <w:sz w:val="20"/>
                <w:szCs w:val="20"/>
              </w:rPr>
              <w:t>ix-</w:t>
            </w:r>
            <w:r w:rsidR="00570809" w:rsidRPr="00D15B1C">
              <w:rPr>
                <w:rFonts w:cstheme="minorHAnsi"/>
                <w:color w:val="000000" w:themeColor="text1"/>
                <w:sz w:val="20"/>
                <w:szCs w:val="20"/>
              </w:rPr>
              <w:t>M</w:t>
            </w:r>
            <w:r w:rsidR="00732594" w:rsidRPr="00D15B1C">
              <w:rPr>
                <w:rFonts w:cstheme="minorHAnsi"/>
                <w:color w:val="000000" w:themeColor="text1"/>
                <w:sz w:val="20"/>
                <w:szCs w:val="20"/>
              </w:rPr>
              <w:t xml:space="preserve">onth </w:t>
            </w:r>
            <w:r w:rsidR="004D2166">
              <w:rPr>
                <w:rFonts w:cstheme="minorHAnsi"/>
                <w:color w:val="000000" w:themeColor="text1"/>
                <w:sz w:val="20"/>
                <w:szCs w:val="20"/>
              </w:rPr>
              <w:t xml:space="preserve">Partner </w:t>
            </w:r>
            <w:r w:rsidR="00570809" w:rsidRPr="00D15B1C">
              <w:rPr>
                <w:rFonts w:cstheme="minorHAnsi"/>
                <w:color w:val="000000" w:themeColor="text1"/>
                <w:sz w:val="20"/>
                <w:szCs w:val="20"/>
              </w:rPr>
              <w:t>U</w:t>
            </w:r>
            <w:r w:rsidR="00943242" w:rsidRPr="00D15B1C">
              <w:rPr>
                <w:rFonts w:cstheme="minorHAnsi"/>
                <w:color w:val="000000" w:themeColor="text1"/>
                <w:sz w:val="20"/>
                <w:szCs w:val="20"/>
              </w:rPr>
              <w:t>pdat</w:t>
            </w:r>
            <w:r w:rsidR="00732594" w:rsidRPr="00D15B1C">
              <w:rPr>
                <w:rFonts w:cstheme="minorHAnsi"/>
                <w:color w:val="000000" w:themeColor="text1"/>
                <w:sz w:val="20"/>
                <w:szCs w:val="20"/>
              </w:rPr>
              <w:t xml:space="preserve">e </w:t>
            </w:r>
            <w:r w:rsidR="00C675EB">
              <w:rPr>
                <w:rFonts w:cstheme="minorHAnsi"/>
                <w:color w:val="000000" w:themeColor="text1"/>
                <w:sz w:val="20"/>
                <w:szCs w:val="20"/>
              </w:rPr>
              <w:t>Forms</w:t>
            </w:r>
            <w:r w:rsidR="00732594" w:rsidRPr="00D15B1C">
              <w:rPr>
                <w:rFonts w:cstheme="minorHAnsi"/>
                <w:color w:val="000000" w:themeColor="text1"/>
                <w:sz w:val="20"/>
                <w:szCs w:val="20"/>
              </w:rPr>
              <w:t>.</w:t>
            </w:r>
          </w:p>
          <w:p w14:paraId="59C799DF" w14:textId="77F814E7" w:rsidR="00C5670A" w:rsidRPr="00D15B1C" w:rsidRDefault="00C5670A" w:rsidP="00AE4E44">
            <w:pPr>
              <w:spacing w:line="250" w:lineRule="auto"/>
              <w:rPr>
                <w:rFonts w:cstheme="minorHAnsi"/>
                <w:color w:val="000000" w:themeColor="text1"/>
                <w:sz w:val="20"/>
                <w:szCs w:val="20"/>
              </w:rPr>
            </w:pPr>
            <w:r w:rsidRPr="00D15B1C">
              <w:rPr>
                <w:rFonts w:cstheme="minorHAnsi"/>
                <w:color w:val="000000" w:themeColor="text1"/>
                <w:sz w:val="20"/>
                <w:szCs w:val="20"/>
              </w:rPr>
              <w:t>Important</w:t>
            </w:r>
            <w:r w:rsidR="00787734" w:rsidRPr="00D15B1C">
              <w:rPr>
                <w:rFonts w:cstheme="minorHAnsi"/>
                <w:color w:val="000000" w:themeColor="text1"/>
                <w:sz w:val="20"/>
                <w:szCs w:val="20"/>
              </w:rPr>
              <w:t xml:space="preserve"> tips</w:t>
            </w:r>
            <w:r w:rsidRPr="00D15B1C">
              <w:rPr>
                <w:rFonts w:cstheme="minorHAnsi"/>
                <w:color w:val="000000" w:themeColor="text1"/>
                <w:sz w:val="20"/>
                <w:szCs w:val="20"/>
              </w:rPr>
              <w:t>:</w:t>
            </w:r>
          </w:p>
          <w:p w14:paraId="0360AB65" w14:textId="0A9FFC84" w:rsidR="00C5670A" w:rsidRPr="00D15B1C" w:rsidRDefault="00C5670A" w:rsidP="00732594">
            <w:pPr>
              <w:pStyle w:val="ListParagraph"/>
              <w:numPr>
                <w:ilvl w:val="0"/>
                <w:numId w:val="5"/>
              </w:numPr>
              <w:spacing w:after="120" w:line="250" w:lineRule="auto"/>
              <w:rPr>
                <w:rFonts w:cstheme="minorHAnsi"/>
                <w:color w:val="000000" w:themeColor="text1"/>
                <w:sz w:val="20"/>
                <w:szCs w:val="20"/>
              </w:rPr>
            </w:pPr>
            <w:r w:rsidRPr="00D15B1C">
              <w:rPr>
                <w:rFonts w:cstheme="minorHAnsi"/>
                <w:color w:val="000000" w:themeColor="text1"/>
                <w:sz w:val="20"/>
                <w:szCs w:val="20"/>
              </w:rPr>
              <w:t xml:space="preserve">Save the form </w:t>
            </w:r>
            <w:r w:rsidR="53C4DB2F" w:rsidRPr="00D15B1C">
              <w:rPr>
                <w:rFonts w:cstheme="minorHAnsi"/>
                <w:color w:val="000000" w:themeColor="text1"/>
                <w:sz w:val="20"/>
                <w:szCs w:val="20"/>
              </w:rPr>
              <w:t xml:space="preserve">regularly and </w:t>
            </w:r>
            <w:r w:rsidR="00F6585C" w:rsidRPr="00D15B1C">
              <w:rPr>
                <w:rFonts w:cstheme="minorHAnsi"/>
                <w:color w:val="000000" w:themeColor="text1"/>
                <w:sz w:val="20"/>
                <w:szCs w:val="20"/>
              </w:rPr>
              <w:t>on each page</w:t>
            </w:r>
            <w:r w:rsidRPr="00D15B1C">
              <w:rPr>
                <w:rFonts w:cstheme="minorHAnsi"/>
                <w:color w:val="000000" w:themeColor="text1"/>
                <w:sz w:val="20"/>
                <w:szCs w:val="20"/>
              </w:rPr>
              <w:t xml:space="preserve"> to avoid data loss. </w:t>
            </w:r>
          </w:p>
          <w:p w14:paraId="6226BF31" w14:textId="17961115" w:rsidR="00C5670A" w:rsidRPr="00D15B1C" w:rsidRDefault="00C5670A" w:rsidP="00732594">
            <w:pPr>
              <w:pStyle w:val="ListParagraph"/>
              <w:numPr>
                <w:ilvl w:val="0"/>
                <w:numId w:val="5"/>
              </w:numPr>
              <w:spacing w:after="120" w:line="250" w:lineRule="auto"/>
              <w:rPr>
                <w:rFonts w:cstheme="minorHAnsi"/>
                <w:color w:val="000000" w:themeColor="text1"/>
                <w:sz w:val="20"/>
                <w:szCs w:val="20"/>
              </w:rPr>
            </w:pPr>
            <w:r w:rsidRPr="00D15B1C">
              <w:rPr>
                <w:rFonts w:cstheme="minorHAnsi"/>
                <w:color w:val="000000" w:themeColor="text1"/>
                <w:sz w:val="20"/>
                <w:szCs w:val="20"/>
              </w:rPr>
              <w:t xml:space="preserve">To move to the next page, please </w:t>
            </w:r>
            <w:r w:rsidR="0039018C" w:rsidRPr="00D15B1C">
              <w:rPr>
                <w:rFonts w:cstheme="minorHAnsi"/>
                <w:b/>
                <w:color w:val="000000" w:themeColor="text1"/>
                <w:sz w:val="20"/>
                <w:szCs w:val="20"/>
              </w:rPr>
              <w:t>click ‘</w:t>
            </w:r>
            <w:r w:rsidRPr="00D15B1C">
              <w:rPr>
                <w:rFonts w:cstheme="minorHAnsi"/>
                <w:b/>
                <w:color w:val="000000" w:themeColor="text1"/>
                <w:sz w:val="20"/>
                <w:szCs w:val="20"/>
              </w:rPr>
              <w:t>&gt;’</w:t>
            </w:r>
            <w:r w:rsidR="00DE334F" w:rsidRPr="00D15B1C">
              <w:rPr>
                <w:rFonts w:cstheme="minorHAnsi"/>
                <w:b/>
                <w:color w:val="000000" w:themeColor="text1"/>
                <w:sz w:val="20"/>
                <w:szCs w:val="20"/>
              </w:rPr>
              <w:t xml:space="preserve"> (the forward arrow)</w:t>
            </w:r>
            <w:r w:rsidR="00085C31" w:rsidRPr="00D15B1C">
              <w:rPr>
                <w:rFonts w:cstheme="minorHAnsi"/>
                <w:color w:val="000000" w:themeColor="text1"/>
                <w:sz w:val="20"/>
                <w:szCs w:val="20"/>
              </w:rPr>
              <w:t>.</w:t>
            </w:r>
          </w:p>
          <w:p w14:paraId="5FE0F815" w14:textId="28EF05DF" w:rsidR="00C5670A" w:rsidRPr="00D15B1C" w:rsidRDefault="00C5670A" w:rsidP="00732594">
            <w:pPr>
              <w:pStyle w:val="ListParagraph"/>
              <w:numPr>
                <w:ilvl w:val="0"/>
                <w:numId w:val="5"/>
              </w:numPr>
              <w:spacing w:after="120" w:line="250" w:lineRule="auto"/>
              <w:rPr>
                <w:rFonts w:cstheme="minorHAnsi"/>
                <w:color w:val="000000" w:themeColor="text1"/>
                <w:sz w:val="20"/>
                <w:szCs w:val="20"/>
              </w:rPr>
            </w:pPr>
            <w:r w:rsidRPr="00D15B1C">
              <w:rPr>
                <w:rFonts w:cstheme="minorHAnsi"/>
                <w:color w:val="000000" w:themeColor="text1"/>
                <w:sz w:val="20"/>
                <w:szCs w:val="20"/>
              </w:rPr>
              <w:t>At the end of the form, once all details have been provided, click ‘</w:t>
            </w:r>
            <w:r w:rsidR="00274A6E" w:rsidRPr="00D15B1C">
              <w:rPr>
                <w:rFonts w:cstheme="minorHAnsi"/>
                <w:color w:val="000000" w:themeColor="text1"/>
                <w:sz w:val="20"/>
                <w:szCs w:val="20"/>
              </w:rPr>
              <w:t>R</w:t>
            </w:r>
            <w:r w:rsidRPr="00D15B1C">
              <w:rPr>
                <w:rFonts w:cstheme="minorHAnsi"/>
                <w:color w:val="000000" w:themeColor="text1"/>
                <w:sz w:val="20"/>
                <w:szCs w:val="20"/>
              </w:rPr>
              <w:t xml:space="preserve">eview and </w:t>
            </w:r>
            <w:r w:rsidR="00274A6E" w:rsidRPr="00D15B1C">
              <w:rPr>
                <w:rFonts w:cstheme="minorHAnsi"/>
                <w:color w:val="000000" w:themeColor="text1"/>
                <w:sz w:val="20"/>
                <w:szCs w:val="20"/>
              </w:rPr>
              <w:t>S</w:t>
            </w:r>
            <w:r w:rsidRPr="00D15B1C">
              <w:rPr>
                <w:rFonts w:cstheme="minorHAnsi"/>
                <w:color w:val="000000" w:themeColor="text1"/>
                <w:sz w:val="20"/>
                <w:szCs w:val="20"/>
              </w:rPr>
              <w:t xml:space="preserve">ubmit’ form. </w:t>
            </w:r>
          </w:p>
          <w:p w14:paraId="531E02C3" w14:textId="636E2331" w:rsidR="00AE4E44" w:rsidRPr="00D15B1C" w:rsidRDefault="00AE4E44" w:rsidP="00732594">
            <w:pPr>
              <w:pStyle w:val="ListParagraph"/>
              <w:numPr>
                <w:ilvl w:val="0"/>
                <w:numId w:val="5"/>
              </w:numPr>
              <w:spacing w:after="120" w:line="250" w:lineRule="auto"/>
              <w:rPr>
                <w:rFonts w:cstheme="minorHAnsi"/>
                <w:color w:val="000000" w:themeColor="text1"/>
                <w:sz w:val="20"/>
                <w:szCs w:val="20"/>
              </w:rPr>
            </w:pPr>
            <w:r w:rsidRPr="00D15B1C">
              <w:rPr>
                <w:rFonts w:cstheme="minorHAnsi"/>
                <w:color w:val="000000" w:themeColor="text1"/>
                <w:sz w:val="20"/>
                <w:szCs w:val="20"/>
              </w:rPr>
              <w:t xml:space="preserve">If you need to update this form (once it has been submitted), please advise your </w:t>
            </w:r>
            <w:r w:rsidR="007B0541" w:rsidRPr="00D15B1C">
              <w:rPr>
                <w:rFonts w:cstheme="minorHAnsi"/>
                <w:color w:val="000000" w:themeColor="text1"/>
                <w:sz w:val="20"/>
                <w:szCs w:val="20"/>
              </w:rPr>
              <w:t xml:space="preserve">PHR </w:t>
            </w:r>
            <w:r w:rsidRPr="00D15B1C">
              <w:rPr>
                <w:rFonts w:cstheme="minorHAnsi"/>
                <w:color w:val="000000" w:themeColor="text1"/>
                <w:sz w:val="20"/>
                <w:szCs w:val="20"/>
              </w:rPr>
              <w:t>Program Manager.</w:t>
            </w:r>
          </w:p>
        </w:tc>
      </w:tr>
      <w:tr w:rsidR="00F36FFC" w14:paraId="43C45259" w14:textId="77777777" w:rsidTr="0E2DE7DC">
        <w:tc>
          <w:tcPr>
            <w:tcW w:w="9493" w:type="dxa"/>
            <w:gridSpan w:val="2"/>
            <w:shd w:val="clear" w:color="auto" w:fill="EDEDED" w:themeFill="accent3" w:themeFillTint="33"/>
          </w:tcPr>
          <w:p w14:paraId="5FC28063" w14:textId="22B5BAAC" w:rsidR="00F36FFC" w:rsidRPr="00D15B1C" w:rsidRDefault="00F36FFC" w:rsidP="00F36FFC">
            <w:pPr>
              <w:jc w:val="center"/>
              <w:rPr>
                <w:b/>
                <w:color w:val="000000" w:themeColor="text1"/>
                <w:sz w:val="20"/>
                <w:szCs w:val="20"/>
              </w:rPr>
            </w:pPr>
            <w:r w:rsidRPr="00D15B1C">
              <w:rPr>
                <w:b/>
                <w:color w:val="000000" w:themeColor="text1"/>
                <w:sz w:val="20"/>
                <w:szCs w:val="20"/>
              </w:rPr>
              <w:t>Page 1</w:t>
            </w:r>
            <w:r w:rsidR="00AB3DD1" w:rsidRPr="00D15B1C">
              <w:rPr>
                <w:b/>
                <w:color w:val="000000" w:themeColor="text1"/>
                <w:sz w:val="20"/>
                <w:szCs w:val="20"/>
              </w:rPr>
              <w:t xml:space="preserve"> –</w:t>
            </w:r>
            <w:r w:rsidR="00C5670A" w:rsidRPr="00D15B1C">
              <w:rPr>
                <w:b/>
                <w:color w:val="000000" w:themeColor="text1"/>
                <w:sz w:val="20"/>
                <w:szCs w:val="20"/>
              </w:rPr>
              <w:t xml:space="preserve"> Partner Overview Form</w:t>
            </w:r>
          </w:p>
        </w:tc>
      </w:tr>
      <w:tr w:rsidR="00AB3B26" w14:paraId="49E76FA8" w14:textId="77777777" w:rsidTr="0E2DE7DC">
        <w:trPr>
          <w:trHeight w:val="604"/>
        </w:trPr>
        <w:tc>
          <w:tcPr>
            <w:tcW w:w="1696" w:type="dxa"/>
          </w:tcPr>
          <w:p w14:paraId="75062FDB" w14:textId="626A78C9" w:rsidR="00AB3B26" w:rsidRPr="00D15B1C" w:rsidRDefault="00AB3B26" w:rsidP="00E85286">
            <w:pPr>
              <w:rPr>
                <w:rFonts w:cstheme="minorHAnsi"/>
                <w:b/>
                <w:color w:val="000000" w:themeColor="text1"/>
                <w:sz w:val="20"/>
                <w:szCs w:val="20"/>
              </w:rPr>
            </w:pPr>
            <w:r w:rsidRPr="00D15B1C">
              <w:rPr>
                <w:rFonts w:cstheme="minorHAnsi"/>
                <w:b/>
                <w:color w:val="000000" w:themeColor="text1"/>
                <w:sz w:val="20"/>
                <w:szCs w:val="20"/>
              </w:rPr>
              <w:t xml:space="preserve">Project </w:t>
            </w:r>
            <w:r w:rsidR="007A395C" w:rsidRPr="00D15B1C">
              <w:rPr>
                <w:rFonts w:cstheme="minorHAnsi"/>
                <w:b/>
                <w:bCs/>
                <w:color w:val="000000" w:themeColor="text1"/>
                <w:sz w:val="20"/>
                <w:szCs w:val="20"/>
              </w:rPr>
              <w:t>n</w:t>
            </w:r>
            <w:r w:rsidRPr="00D15B1C">
              <w:rPr>
                <w:rFonts w:cstheme="minorHAnsi"/>
                <w:b/>
                <w:bCs/>
                <w:color w:val="000000" w:themeColor="text1"/>
                <w:sz w:val="20"/>
                <w:szCs w:val="20"/>
              </w:rPr>
              <w:t>ame</w:t>
            </w:r>
          </w:p>
        </w:tc>
        <w:tc>
          <w:tcPr>
            <w:tcW w:w="7797" w:type="dxa"/>
          </w:tcPr>
          <w:p w14:paraId="2AE4FD58" w14:textId="689B2539" w:rsidR="00AB3B26" w:rsidRPr="00D15B1C" w:rsidRDefault="00AB3B26" w:rsidP="00AB3B26">
            <w:pPr>
              <w:spacing w:after="80" w:line="247" w:lineRule="auto"/>
              <w:rPr>
                <w:rFonts w:cstheme="minorHAnsi"/>
                <w:color w:val="000000" w:themeColor="text1"/>
                <w:sz w:val="20"/>
                <w:szCs w:val="20"/>
                <w:u w:val="single"/>
              </w:rPr>
            </w:pPr>
            <w:r w:rsidRPr="00D15B1C">
              <w:rPr>
                <w:rFonts w:cstheme="minorHAnsi"/>
                <w:color w:val="000000" w:themeColor="text1"/>
                <w:sz w:val="20"/>
                <w:szCs w:val="20"/>
                <w:u w:val="single"/>
              </w:rPr>
              <w:t xml:space="preserve">Section </w:t>
            </w:r>
            <w:r w:rsidR="00654AE0" w:rsidRPr="00D15B1C">
              <w:rPr>
                <w:rFonts w:cstheme="minorHAnsi"/>
                <w:color w:val="000000" w:themeColor="text1"/>
                <w:sz w:val="20"/>
                <w:szCs w:val="20"/>
                <w:u w:val="single"/>
              </w:rPr>
              <w:t>2</w:t>
            </w:r>
          </w:p>
          <w:p w14:paraId="0966DAE0" w14:textId="4CD87865" w:rsidR="00AB3B26" w:rsidRPr="00D15B1C" w:rsidRDefault="00AB3B26" w:rsidP="00AB3B26">
            <w:pPr>
              <w:spacing w:after="80" w:line="247" w:lineRule="auto"/>
              <w:rPr>
                <w:rFonts w:cstheme="minorHAnsi"/>
                <w:color w:val="000000" w:themeColor="text1"/>
                <w:sz w:val="20"/>
                <w:szCs w:val="20"/>
              </w:rPr>
            </w:pPr>
            <w:r w:rsidRPr="00D15B1C">
              <w:rPr>
                <w:rFonts w:cstheme="minorHAnsi"/>
                <w:color w:val="000000" w:themeColor="text1"/>
                <w:sz w:val="20"/>
                <w:szCs w:val="20"/>
              </w:rPr>
              <w:t>Provide your project name</w:t>
            </w:r>
            <w:r w:rsidR="009B55FA" w:rsidRPr="00D15B1C">
              <w:rPr>
                <w:rFonts w:cstheme="minorHAnsi"/>
                <w:color w:val="000000" w:themeColor="text1"/>
                <w:sz w:val="20"/>
                <w:szCs w:val="20"/>
              </w:rPr>
              <w:t xml:space="preserve"> (this should align with the name in your contract agreement)</w:t>
            </w:r>
            <w:r w:rsidR="004342D3" w:rsidRPr="00D15B1C">
              <w:rPr>
                <w:rFonts w:cstheme="minorHAnsi"/>
                <w:color w:val="000000" w:themeColor="text1"/>
                <w:sz w:val="20"/>
                <w:szCs w:val="20"/>
              </w:rPr>
              <w:t>.</w:t>
            </w:r>
          </w:p>
        </w:tc>
      </w:tr>
      <w:tr w:rsidR="00116154" w14:paraId="204F1F0F" w14:textId="77777777" w:rsidTr="0E2DE7DC">
        <w:trPr>
          <w:trHeight w:val="216"/>
        </w:trPr>
        <w:tc>
          <w:tcPr>
            <w:tcW w:w="1696" w:type="dxa"/>
          </w:tcPr>
          <w:p w14:paraId="696A5895" w14:textId="3427A929" w:rsidR="00116154" w:rsidRPr="00D15B1C" w:rsidRDefault="00116154" w:rsidP="00E85286">
            <w:pPr>
              <w:rPr>
                <w:rFonts w:cstheme="minorHAnsi"/>
                <w:b/>
                <w:color w:val="000000" w:themeColor="text1"/>
                <w:sz w:val="20"/>
                <w:szCs w:val="20"/>
              </w:rPr>
            </w:pPr>
            <w:r w:rsidRPr="00D15B1C">
              <w:rPr>
                <w:rFonts w:cstheme="minorHAnsi"/>
                <w:b/>
                <w:color w:val="000000" w:themeColor="text1"/>
                <w:sz w:val="20"/>
                <w:szCs w:val="20"/>
              </w:rPr>
              <w:t>Partner type details</w:t>
            </w:r>
          </w:p>
        </w:tc>
        <w:tc>
          <w:tcPr>
            <w:tcW w:w="7797" w:type="dxa"/>
          </w:tcPr>
          <w:p w14:paraId="0AC571EC" w14:textId="22EFED27" w:rsidR="00116154" w:rsidRPr="00D15B1C" w:rsidRDefault="00116154" w:rsidP="00C30252">
            <w:pPr>
              <w:spacing w:line="250" w:lineRule="auto"/>
              <w:rPr>
                <w:rFonts w:cstheme="minorHAnsi"/>
                <w:color w:val="000000" w:themeColor="text1"/>
                <w:sz w:val="20"/>
                <w:szCs w:val="20"/>
                <w:u w:val="single"/>
              </w:rPr>
            </w:pPr>
            <w:r w:rsidRPr="00D15B1C">
              <w:rPr>
                <w:rFonts w:cstheme="minorHAnsi"/>
                <w:color w:val="000000" w:themeColor="text1"/>
                <w:sz w:val="20"/>
                <w:szCs w:val="20"/>
                <w:u w:val="single"/>
              </w:rPr>
              <w:t xml:space="preserve">Section </w:t>
            </w:r>
            <w:r w:rsidR="00654AE0" w:rsidRPr="00D15B1C">
              <w:rPr>
                <w:rFonts w:cstheme="minorHAnsi"/>
                <w:color w:val="000000" w:themeColor="text1"/>
                <w:sz w:val="20"/>
                <w:szCs w:val="20"/>
                <w:u w:val="single"/>
              </w:rPr>
              <w:t>3</w:t>
            </w:r>
          </w:p>
          <w:p w14:paraId="2FD52DE9" w14:textId="1F7926C5" w:rsidR="00590967" w:rsidRPr="00D15B1C" w:rsidRDefault="009918A3" w:rsidP="00AB3B26">
            <w:pPr>
              <w:spacing w:after="120" w:line="250" w:lineRule="auto"/>
              <w:rPr>
                <w:rFonts w:cstheme="minorHAnsi"/>
                <w:color w:val="000000" w:themeColor="text1"/>
                <w:sz w:val="20"/>
                <w:szCs w:val="20"/>
              </w:rPr>
            </w:pPr>
            <w:r w:rsidRPr="00D15B1C">
              <w:rPr>
                <w:rFonts w:cstheme="minorHAnsi"/>
                <w:color w:val="000000" w:themeColor="text1"/>
                <w:sz w:val="20"/>
                <w:szCs w:val="20"/>
              </w:rPr>
              <w:t>Select</w:t>
            </w:r>
            <w:r w:rsidR="00BC5D49" w:rsidRPr="00D15B1C">
              <w:rPr>
                <w:rFonts w:cstheme="minorHAnsi"/>
                <w:color w:val="000000" w:themeColor="text1"/>
                <w:sz w:val="20"/>
                <w:szCs w:val="20"/>
              </w:rPr>
              <w:t xml:space="preserve"> the category that best describes your organisation type</w:t>
            </w:r>
            <w:r w:rsidRPr="00D15B1C">
              <w:rPr>
                <w:rFonts w:cstheme="minorHAnsi"/>
                <w:color w:val="000000" w:themeColor="text1"/>
                <w:sz w:val="20"/>
                <w:szCs w:val="20"/>
              </w:rPr>
              <w:t>. Only one response can be selected.</w:t>
            </w:r>
          </w:p>
        </w:tc>
      </w:tr>
      <w:tr w:rsidR="006F2752" w14:paraId="6C928339" w14:textId="77777777" w:rsidTr="00356AA0">
        <w:trPr>
          <w:trHeight w:val="699"/>
        </w:trPr>
        <w:tc>
          <w:tcPr>
            <w:tcW w:w="1696" w:type="dxa"/>
          </w:tcPr>
          <w:p w14:paraId="01C629CD" w14:textId="3A4AA15D" w:rsidR="006F2752" w:rsidRPr="00D15B1C" w:rsidRDefault="006F2752" w:rsidP="00E85286">
            <w:pPr>
              <w:rPr>
                <w:rFonts w:cstheme="minorHAnsi"/>
                <w:b/>
                <w:color w:val="000000" w:themeColor="text1"/>
                <w:sz w:val="20"/>
                <w:szCs w:val="20"/>
              </w:rPr>
            </w:pPr>
            <w:r w:rsidRPr="00D15B1C">
              <w:rPr>
                <w:rFonts w:cstheme="minorHAnsi"/>
                <w:b/>
                <w:color w:val="000000" w:themeColor="text1"/>
                <w:sz w:val="20"/>
                <w:szCs w:val="20"/>
              </w:rPr>
              <w:t xml:space="preserve">Project </w:t>
            </w:r>
            <w:r w:rsidR="007A395C" w:rsidRPr="00D15B1C">
              <w:rPr>
                <w:rFonts w:cstheme="minorHAnsi"/>
                <w:b/>
                <w:bCs/>
                <w:color w:val="000000" w:themeColor="text1"/>
                <w:sz w:val="20"/>
                <w:szCs w:val="20"/>
              </w:rPr>
              <w:t>d</w:t>
            </w:r>
            <w:r w:rsidRPr="00D15B1C">
              <w:rPr>
                <w:rFonts w:cstheme="minorHAnsi"/>
                <w:b/>
                <w:bCs/>
                <w:color w:val="000000" w:themeColor="text1"/>
                <w:sz w:val="20"/>
                <w:szCs w:val="20"/>
              </w:rPr>
              <w:t>etails</w:t>
            </w:r>
          </w:p>
          <w:p w14:paraId="0FB38543" w14:textId="25D1AC8C" w:rsidR="006F2752" w:rsidRPr="00D15B1C" w:rsidRDefault="006F2752" w:rsidP="001767E1">
            <w:pPr>
              <w:rPr>
                <w:rFonts w:cstheme="minorHAnsi"/>
                <w:b/>
                <w:color w:val="000000" w:themeColor="text1"/>
                <w:sz w:val="20"/>
                <w:szCs w:val="20"/>
              </w:rPr>
            </w:pPr>
          </w:p>
        </w:tc>
        <w:tc>
          <w:tcPr>
            <w:tcW w:w="7797" w:type="dxa"/>
          </w:tcPr>
          <w:p w14:paraId="1F7BFE82" w14:textId="6969A4CB" w:rsidR="006F2752" w:rsidRPr="00D15B1C" w:rsidRDefault="00CE5DF0" w:rsidP="00B84B83">
            <w:pPr>
              <w:spacing w:after="80" w:line="247" w:lineRule="auto"/>
              <w:rPr>
                <w:rFonts w:cstheme="minorHAnsi"/>
                <w:color w:val="000000" w:themeColor="text1"/>
                <w:sz w:val="20"/>
                <w:szCs w:val="20"/>
                <w:u w:val="single"/>
              </w:rPr>
            </w:pPr>
            <w:r w:rsidRPr="00D15B1C">
              <w:rPr>
                <w:rFonts w:cstheme="minorHAnsi"/>
                <w:color w:val="000000" w:themeColor="text1"/>
                <w:sz w:val="20"/>
                <w:szCs w:val="20"/>
                <w:u w:val="single"/>
              </w:rPr>
              <w:t xml:space="preserve">Section </w:t>
            </w:r>
            <w:r w:rsidR="00231707" w:rsidRPr="00D15B1C">
              <w:rPr>
                <w:rFonts w:cstheme="minorHAnsi"/>
                <w:color w:val="000000" w:themeColor="text1"/>
                <w:sz w:val="20"/>
                <w:szCs w:val="20"/>
                <w:u w:val="single"/>
              </w:rPr>
              <w:t>4</w:t>
            </w:r>
          </w:p>
          <w:p w14:paraId="171B61C3" w14:textId="77777777" w:rsidR="0064179C" w:rsidRPr="00D15B1C" w:rsidRDefault="00A668F1" w:rsidP="00B84B83">
            <w:pPr>
              <w:spacing w:after="80" w:line="247" w:lineRule="auto"/>
              <w:rPr>
                <w:rFonts w:cstheme="minorHAnsi"/>
                <w:color w:val="000000" w:themeColor="text1"/>
                <w:sz w:val="20"/>
                <w:szCs w:val="20"/>
              </w:rPr>
            </w:pPr>
            <w:r w:rsidRPr="00D15B1C">
              <w:rPr>
                <w:rFonts w:cstheme="minorHAnsi"/>
                <w:color w:val="000000" w:themeColor="text1"/>
                <w:sz w:val="20"/>
                <w:szCs w:val="20"/>
              </w:rPr>
              <w:t xml:space="preserve">Provide your </w:t>
            </w:r>
            <w:r w:rsidR="0064179C" w:rsidRPr="00D15B1C">
              <w:rPr>
                <w:rFonts w:cstheme="minorHAnsi"/>
                <w:color w:val="000000" w:themeColor="text1"/>
                <w:sz w:val="20"/>
                <w:szCs w:val="20"/>
              </w:rPr>
              <w:t>lead organisation name.</w:t>
            </w:r>
          </w:p>
          <w:p w14:paraId="01C9D782" w14:textId="3FA84271" w:rsidR="00DD7A4A" w:rsidRPr="00D15B1C" w:rsidRDefault="008E201C" w:rsidP="00B84B83">
            <w:pPr>
              <w:spacing w:after="80" w:line="247" w:lineRule="auto"/>
              <w:rPr>
                <w:rFonts w:cstheme="minorHAnsi"/>
                <w:color w:val="000000" w:themeColor="text1"/>
                <w:sz w:val="20"/>
                <w:szCs w:val="20"/>
              </w:rPr>
            </w:pPr>
            <w:r w:rsidRPr="00D15B1C">
              <w:rPr>
                <w:rFonts w:cstheme="minorHAnsi"/>
                <w:color w:val="000000" w:themeColor="text1"/>
                <w:sz w:val="20"/>
                <w:szCs w:val="20"/>
              </w:rPr>
              <w:t>For</w:t>
            </w:r>
            <w:r w:rsidR="72C4B3CE" w:rsidRPr="00D15B1C">
              <w:rPr>
                <w:rFonts w:cstheme="minorHAnsi"/>
                <w:color w:val="000000" w:themeColor="text1"/>
                <w:sz w:val="20"/>
                <w:szCs w:val="20"/>
              </w:rPr>
              <w:t xml:space="preserve"> the question </w:t>
            </w:r>
            <w:r w:rsidR="72C4B3CE" w:rsidRPr="00D15B1C">
              <w:rPr>
                <w:rFonts w:cstheme="minorHAnsi"/>
                <w:i/>
                <w:color w:val="000000" w:themeColor="text1"/>
                <w:sz w:val="20"/>
                <w:szCs w:val="20"/>
              </w:rPr>
              <w:t xml:space="preserve">‘Is your organisation leading a </w:t>
            </w:r>
            <w:r w:rsidR="5F8D6476" w:rsidRPr="00D15B1C">
              <w:rPr>
                <w:rFonts w:cstheme="minorHAnsi"/>
                <w:i/>
                <w:color w:val="000000" w:themeColor="text1"/>
                <w:sz w:val="20"/>
                <w:szCs w:val="20"/>
              </w:rPr>
              <w:t>consortium</w:t>
            </w:r>
            <w:r w:rsidR="72C4B3CE" w:rsidRPr="00D15B1C">
              <w:rPr>
                <w:rFonts w:cstheme="minorHAnsi"/>
                <w:i/>
                <w:color w:val="000000" w:themeColor="text1"/>
                <w:sz w:val="20"/>
                <w:szCs w:val="20"/>
              </w:rPr>
              <w:t xml:space="preserve"> to deliver this project?’</w:t>
            </w:r>
            <w:r w:rsidR="009A4FAF" w:rsidRPr="00D15B1C">
              <w:rPr>
                <w:rFonts w:cstheme="minorHAnsi"/>
                <w:color w:val="000000" w:themeColor="text1"/>
                <w:sz w:val="20"/>
                <w:szCs w:val="20"/>
              </w:rPr>
              <w:t>, o</w:t>
            </w:r>
            <w:r w:rsidR="72C4B3CE" w:rsidRPr="00D15B1C">
              <w:rPr>
                <w:rFonts w:cstheme="minorHAnsi"/>
                <w:color w:val="000000" w:themeColor="text1"/>
                <w:sz w:val="20"/>
                <w:szCs w:val="20"/>
              </w:rPr>
              <w:t xml:space="preserve">rganisations that are leading a </w:t>
            </w:r>
            <w:r w:rsidR="3A65E631" w:rsidRPr="00D15B1C">
              <w:rPr>
                <w:rFonts w:cstheme="minorHAnsi"/>
                <w:color w:val="000000" w:themeColor="text1"/>
                <w:sz w:val="20"/>
                <w:szCs w:val="20"/>
              </w:rPr>
              <w:t>consortium</w:t>
            </w:r>
            <w:r w:rsidR="72C4B3CE" w:rsidRPr="00D15B1C">
              <w:rPr>
                <w:rFonts w:cstheme="minorHAnsi"/>
                <w:color w:val="000000" w:themeColor="text1"/>
                <w:sz w:val="20"/>
                <w:szCs w:val="20"/>
              </w:rPr>
              <w:t xml:space="preserve"> will have been advised by their Program Managers. If you select ‘yes’</w:t>
            </w:r>
            <w:r w:rsidRPr="00D15B1C">
              <w:rPr>
                <w:rFonts w:cstheme="minorHAnsi"/>
                <w:color w:val="000000" w:themeColor="text1"/>
                <w:sz w:val="20"/>
                <w:szCs w:val="20"/>
              </w:rPr>
              <w:t>,</w:t>
            </w:r>
            <w:r w:rsidR="72C4B3CE" w:rsidRPr="00D15B1C">
              <w:rPr>
                <w:rFonts w:cstheme="minorHAnsi"/>
                <w:color w:val="000000" w:themeColor="text1"/>
                <w:sz w:val="20"/>
                <w:szCs w:val="20"/>
              </w:rPr>
              <w:t xml:space="preserve"> see section </w:t>
            </w:r>
            <w:r w:rsidR="5AE8FC13" w:rsidRPr="00D15B1C">
              <w:rPr>
                <w:rFonts w:cstheme="minorHAnsi"/>
                <w:color w:val="000000" w:themeColor="text1"/>
                <w:sz w:val="20"/>
                <w:szCs w:val="20"/>
              </w:rPr>
              <w:t>6</w:t>
            </w:r>
            <w:r w:rsidR="72C4B3CE" w:rsidRPr="00D15B1C">
              <w:rPr>
                <w:rFonts w:cstheme="minorHAnsi"/>
                <w:color w:val="000000" w:themeColor="text1"/>
                <w:sz w:val="20"/>
                <w:szCs w:val="20"/>
              </w:rPr>
              <w:t xml:space="preserve">. If you select ‘no’, the form will navigate to section </w:t>
            </w:r>
            <w:r w:rsidR="5AE8FC13" w:rsidRPr="00D15B1C">
              <w:rPr>
                <w:rFonts w:cstheme="minorHAnsi"/>
                <w:color w:val="000000" w:themeColor="text1"/>
                <w:sz w:val="20"/>
                <w:szCs w:val="20"/>
              </w:rPr>
              <w:t>7</w:t>
            </w:r>
            <w:r w:rsidR="72C4B3CE" w:rsidRPr="00D15B1C">
              <w:rPr>
                <w:rFonts w:cstheme="minorHAnsi"/>
                <w:color w:val="000000" w:themeColor="text1"/>
                <w:sz w:val="20"/>
                <w:szCs w:val="20"/>
              </w:rPr>
              <w:t>.</w:t>
            </w:r>
          </w:p>
          <w:p w14:paraId="76F00D78" w14:textId="47356AE5" w:rsidR="00CC3478" w:rsidRPr="00D15B1C" w:rsidRDefault="00CC3478" w:rsidP="00B84B83">
            <w:pPr>
              <w:spacing w:after="80" w:line="247" w:lineRule="auto"/>
              <w:rPr>
                <w:rFonts w:cstheme="minorHAnsi"/>
                <w:color w:val="000000" w:themeColor="text1"/>
                <w:sz w:val="20"/>
                <w:szCs w:val="20"/>
                <w:u w:val="single"/>
              </w:rPr>
            </w:pPr>
            <w:r w:rsidRPr="00D15B1C">
              <w:rPr>
                <w:rFonts w:cstheme="minorHAnsi"/>
                <w:color w:val="000000" w:themeColor="text1"/>
                <w:sz w:val="20"/>
                <w:szCs w:val="20"/>
                <w:u w:val="single"/>
              </w:rPr>
              <w:t xml:space="preserve">Section </w:t>
            </w:r>
            <w:r w:rsidR="00231707" w:rsidRPr="00D15B1C">
              <w:rPr>
                <w:rFonts w:cstheme="minorHAnsi"/>
                <w:color w:val="000000" w:themeColor="text1"/>
                <w:sz w:val="20"/>
                <w:szCs w:val="20"/>
                <w:u w:val="single"/>
              </w:rPr>
              <w:t>5</w:t>
            </w:r>
            <w:r w:rsidR="00B85BD3">
              <w:rPr>
                <w:rFonts w:cstheme="minorHAnsi"/>
                <w:color w:val="000000" w:themeColor="text1"/>
                <w:sz w:val="20"/>
                <w:szCs w:val="20"/>
                <w:u w:val="single"/>
              </w:rPr>
              <w:t xml:space="preserve"> </w:t>
            </w:r>
            <w:r w:rsidR="00E738B9">
              <w:rPr>
                <w:rFonts w:cstheme="minorHAnsi"/>
                <w:color w:val="000000" w:themeColor="text1"/>
                <w:sz w:val="20"/>
                <w:szCs w:val="20"/>
                <w:u w:val="single"/>
              </w:rPr>
              <w:t>(only applicable to Consortia)</w:t>
            </w:r>
          </w:p>
          <w:p w14:paraId="196920BD" w14:textId="3509B51B" w:rsidR="00CE5DF0" w:rsidRPr="00D15B1C" w:rsidRDefault="7FD02E41" w:rsidP="00B84B83">
            <w:pPr>
              <w:spacing w:after="80" w:line="247" w:lineRule="auto"/>
              <w:rPr>
                <w:rFonts w:cstheme="minorHAnsi"/>
                <w:color w:val="000000" w:themeColor="text1"/>
                <w:sz w:val="20"/>
                <w:szCs w:val="20"/>
              </w:rPr>
            </w:pPr>
            <w:r w:rsidRPr="00D15B1C">
              <w:rPr>
                <w:rFonts w:cstheme="minorHAnsi"/>
                <w:color w:val="000000" w:themeColor="text1"/>
                <w:sz w:val="20"/>
                <w:szCs w:val="20"/>
              </w:rPr>
              <w:t>Provide the name of your consorti</w:t>
            </w:r>
            <w:r w:rsidR="64FABC5E" w:rsidRPr="00D15B1C">
              <w:rPr>
                <w:rFonts w:cstheme="minorHAnsi"/>
                <w:color w:val="000000" w:themeColor="text1"/>
                <w:sz w:val="20"/>
                <w:szCs w:val="20"/>
              </w:rPr>
              <w:t>um</w:t>
            </w:r>
            <w:r w:rsidRPr="00D15B1C">
              <w:rPr>
                <w:rFonts w:cstheme="minorHAnsi"/>
                <w:color w:val="000000" w:themeColor="text1"/>
                <w:sz w:val="20"/>
                <w:szCs w:val="20"/>
              </w:rPr>
              <w:t xml:space="preserve"> partners. For multiple partners, please select ‘add more’.</w:t>
            </w:r>
          </w:p>
          <w:p w14:paraId="55BC430B" w14:textId="04FC7736" w:rsidR="006F2752" w:rsidRPr="00D15B1C" w:rsidRDefault="00CE5DF0" w:rsidP="00B84B83">
            <w:pPr>
              <w:spacing w:after="80" w:line="247" w:lineRule="auto"/>
              <w:rPr>
                <w:rFonts w:cstheme="minorHAnsi"/>
                <w:color w:val="000000" w:themeColor="text1"/>
                <w:sz w:val="20"/>
                <w:szCs w:val="20"/>
                <w:u w:val="single"/>
              </w:rPr>
            </w:pPr>
            <w:r w:rsidRPr="00D15B1C">
              <w:rPr>
                <w:rFonts w:cstheme="minorHAnsi"/>
                <w:color w:val="000000" w:themeColor="text1"/>
                <w:sz w:val="20"/>
                <w:szCs w:val="20"/>
                <w:u w:val="single"/>
              </w:rPr>
              <w:t xml:space="preserve">Section </w:t>
            </w:r>
            <w:r w:rsidR="00231707" w:rsidRPr="00D15B1C">
              <w:rPr>
                <w:rFonts w:cstheme="minorHAnsi"/>
                <w:color w:val="000000" w:themeColor="text1"/>
                <w:sz w:val="20"/>
                <w:szCs w:val="20"/>
                <w:u w:val="single"/>
              </w:rPr>
              <w:t>6</w:t>
            </w:r>
          </w:p>
          <w:p w14:paraId="5858E5FD" w14:textId="50758E4C" w:rsidR="006F2752" w:rsidRPr="00D15B1C" w:rsidRDefault="006F2752" w:rsidP="00B84B83">
            <w:pPr>
              <w:spacing w:after="80" w:line="247" w:lineRule="auto"/>
              <w:rPr>
                <w:rFonts w:cstheme="minorHAnsi"/>
                <w:color w:val="000000" w:themeColor="text1"/>
                <w:sz w:val="20"/>
                <w:szCs w:val="20"/>
              </w:rPr>
            </w:pPr>
            <w:r w:rsidRPr="00D15B1C">
              <w:rPr>
                <w:rFonts w:cstheme="minorHAnsi"/>
                <w:color w:val="000000" w:themeColor="text1"/>
                <w:sz w:val="20"/>
                <w:szCs w:val="20"/>
              </w:rPr>
              <w:t xml:space="preserve">The agreement number, </w:t>
            </w:r>
            <w:r w:rsidR="0067463F" w:rsidRPr="00D15B1C">
              <w:rPr>
                <w:rFonts w:cstheme="minorHAnsi"/>
                <w:color w:val="000000" w:themeColor="text1"/>
                <w:sz w:val="20"/>
                <w:szCs w:val="20"/>
              </w:rPr>
              <w:t>agreement</w:t>
            </w:r>
            <w:r w:rsidR="003E2FC3" w:rsidRPr="00D15B1C">
              <w:rPr>
                <w:rFonts w:cstheme="minorHAnsi"/>
                <w:color w:val="000000" w:themeColor="text1"/>
                <w:sz w:val="20"/>
                <w:szCs w:val="20"/>
              </w:rPr>
              <w:t xml:space="preserve"> </w:t>
            </w:r>
            <w:r w:rsidRPr="00D15B1C">
              <w:rPr>
                <w:rFonts w:cstheme="minorHAnsi"/>
                <w:color w:val="000000" w:themeColor="text1"/>
                <w:sz w:val="20"/>
                <w:szCs w:val="20"/>
              </w:rPr>
              <w:t>start</w:t>
            </w:r>
            <w:r w:rsidR="00DC7CDA" w:rsidRPr="00D15B1C">
              <w:rPr>
                <w:rFonts w:cstheme="minorHAnsi"/>
                <w:color w:val="000000" w:themeColor="text1"/>
                <w:sz w:val="20"/>
                <w:szCs w:val="20"/>
              </w:rPr>
              <w:t xml:space="preserve"> date, agreement</w:t>
            </w:r>
            <w:r w:rsidRPr="00D15B1C">
              <w:rPr>
                <w:rFonts w:cstheme="minorHAnsi"/>
                <w:color w:val="000000" w:themeColor="text1"/>
                <w:sz w:val="20"/>
                <w:szCs w:val="20"/>
              </w:rPr>
              <w:t xml:space="preserve"> end date and the value of the </w:t>
            </w:r>
            <w:r w:rsidR="00F84292" w:rsidRPr="00D15B1C">
              <w:rPr>
                <w:rFonts w:cstheme="minorHAnsi"/>
                <w:color w:val="000000" w:themeColor="text1"/>
                <w:sz w:val="20"/>
                <w:szCs w:val="20"/>
              </w:rPr>
              <w:t>Total PHR grant (budget/</w:t>
            </w:r>
            <w:r w:rsidRPr="00D15B1C">
              <w:rPr>
                <w:rFonts w:cstheme="minorHAnsi"/>
                <w:color w:val="000000" w:themeColor="text1"/>
                <w:sz w:val="20"/>
                <w:szCs w:val="20"/>
              </w:rPr>
              <w:t>funding for this agreement</w:t>
            </w:r>
            <w:r w:rsidR="00F84292" w:rsidRPr="00D15B1C">
              <w:rPr>
                <w:rFonts w:cstheme="minorHAnsi"/>
                <w:color w:val="000000" w:themeColor="text1"/>
                <w:sz w:val="20"/>
                <w:szCs w:val="20"/>
              </w:rPr>
              <w:t>)</w:t>
            </w:r>
            <w:r w:rsidRPr="00D15B1C">
              <w:rPr>
                <w:rFonts w:cstheme="minorHAnsi"/>
                <w:color w:val="000000" w:themeColor="text1"/>
                <w:sz w:val="20"/>
                <w:szCs w:val="20"/>
              </w:rPr>
              <w:t xml:space="preserve"> are all specified in your contract document. </w:t>
            </w:r>
          </w:p>
          <w:p w14:paraId="750C1BC6" w14:textId="6C1F5170" w:rsidR="006F2752" w:rsidRPr="00D15B1C" w:rsidRDefault="006F2752" w:rsidP="00B84B83">
            <w:pPr>
              <w:spacing w:after="80" w:line="247" w:lineRule="auto"/>
              <w:rPr>
                <w:rFonts w:cstheme="minorHAnsi"/>
                <w:color w:val="000000" w:themeColor="text1"/>
                <w:sz w:val="20"/>
                <w:szCs w:val="20"/>
              </w:rPr>
            </w:pPr>
            <w:r w:rsidRPr="00D15B1C">
              <w:rPr>
                <w:rFonts w:cstheme="minorHAnsi"/>
                <w:color w:val="000000" w:themeColor="text1"/>
                <w:sz w:val="20"/>
                <w:szCs w:val="20"/>
              </w:rPr>
              <w:t>For the question</w:t>
            </w:r>
            <w:r w:rsidR="000A6432" w:rsidRPr="00D15B1C">
              <w:rPr>
                <w:rFonts w:cstheme="minorHAnsi"/>
                <w:color w:val="000000" w:themeColor="text1"/>
                <w:sz w:val="20"/>
                <w:szCs w:val="20"/>
              </w:rPr>
              <w:t xml:space="preserve"> ‘</w:t>
            </w:r>
            <w:r w:rsidRPr="00D15B1C">
              <w:rPr>
                <w:rFonts w:cstheme="minorHAnsi"/>
                <w:i/>
                <w:color w:val="000000" w:themeColor="text1"/>
                <w:sz w:val="20"/>
                <w:szCs w:val="20"/>
              </w:rPr>
              <w:t>Do you receive PHR Global Fund Set-Aside Funding?’</w:t>
            </w:r>
            <w:r w:rsidRPr="00D15B1C">
              <w:rPr>
                <w:rFonts w:cstheme="minorHAnsi"/>
                <w:color w:val="000000" w:themeColor="text1"/>
                <w:sz w:val="20"/>
                <w:szCs w:val="20"/>
              </w:rPr>
              <w:t xml:space="preserve">, your Program Manager will advise if you have received </w:t>
            </w:r>
            <w:r w:rsidRPr="00D15B1C">
              <w:rPr>
                <w:rFonts w:cstheme="minorHAnsi"/>
                <w:i/>
                <w:color w:val="000000" w:themeColor="text1"/>
                <w:sz w:val="20"/>
                <w:szCs w:val="20"/>
              </w:rPr>
              <w:t>PHR Global Fund Set-Aside Funding</w:t>
            </w:r>
            <w:r w:rsidRPr="00D15B1C">
              <w:rPr>
                <w:rFonts w:cstheme="minorHAnsi"/>
                <w:color w:val="000000" w:themeColor="text1"/>
                <w:sz w:val="20"/>
                <w:szCs w:val="20"/>
              </w:rPr>
              <w:t xml:space="preserve">. If you do receive this source of funding, your </w:t>
            </w:r>
            <w:r w:rsidR="003648EE" w:rsidRPr="00D15B1C">
              <w:rPr>
                <w:rFonts w:cstheme="minorHAnsi"/>
                <w:color w:val="000000" w:themeColor="text1"/>
                <w:sz w:val="20"/>
                <w:szCs w:val="20"/>
              </w:rPr>
              <w:t xml:space="preserve">Annual </w:t>
            </w:r>
            <w:r w:rsidR="00470AA7">
              <w:rPr>
                <w:rFonts w:cstheme="minorHAnsi"/>
                <w:color w:val="000000" w:themeColor="text1"/>
                <w:sz w:val="20"/>
                <w:szCs w:val="20"/>
              </w:rPr>
              <w:t xml:space="preserve">Partner </w:t>
            </w:r>
            <w:r w:rsidR="003648EE" w:rsidRPr="00D15B1C">
              <w:rPr>
                <w:rFonts w:cstheme="minorHAnsi"/>
                <w:color w:val="000000" w:themeColor="text1"/>
                <w:sz w:val="20"/>
                <w:szCs w:val="20"/>
              </w:rPr>
              <w:t xml:space="preserve">Update </w:t>
            </w:r>
            <w:r w:rsidR="00BF4FC9" w:rsidRPr="00D15B1C">
              <w:rPr>
                <w:rFonts w:cstheme="minorHAnsi"/>
                <w:color w:val="000000" w:themeColor="text1"/>
                <w:sz w:val="20"/>
                <w:szCs w:val="20"/>
              </w:rPr>
              <w:t>F</w:t>
            </w:r>
            <w:r w:rsidR="003648EE" w:rsidRPr="00D15B1C">
              <w:rPr>
                <w:rFonts w:cstheme="minorHAnsi"/>
                <w:color w:val="000000" w:themeColor="text1"/>
                <w:sz w:val="20"/>
                <w:szCs w:val="20"/>
              </w:rPr>
              <w:t>orm</w:t>
            </w:r>
            <w:r w:rsidRPr="00D15B1C">
              <w:rPr>
                <w:rFonts w:cstheme="minorHAnsi"/>
                <w:color w:val="000000" w:themeColor="text1"/>
                <w:sz w:val="20"/>
                <w:szCs w:val="20"/>
              </w:rPr>
              <w:t xml:space="preserve"> will automatically include an additional </w:t>
            </w:r>
            <w:r w:rsidR="00CE5DF0" w:rsidRPr="00D15B1C">
              <w:rPr>
                <w:rFonts w:cstheme="minorHAnsi"/>
                <w:color w:val="000000" w:themeColor="text1"/>
                <w:sz w:val="20"/>
                <w:szCs w:val="20"/>
              </w:rPr>
              <w:t>question.</w:t>
            </w:r>
          </w:p>
        </w:tc>
      </w:tr>
      <w:tr w:rsidR="001767E1" w14:paraId="39B85DC1" w14:textId="77777777" w:rsidTr="0E2DE7DC">
        <w:tc>
          <w:tcPr>
            <w:tcW w:w="1696" w:type="dxa"/>
          </w:tcPr>
          <w:p w14:paraId="2E33AD6B" w14:textId="6AFFF039" w:rsidR="001767E1" w:rsidRPr="00AC5728" w:rsidRDefault="00EC6B7B" w:rsidP="001767E1">
            <w:pPr>
              <w:rPr>
                <w:rFonts w:cstheme="minorHAnsi"/>
                <w:b/>
                <w:bCs/>
                <w:color w:val="000000" w:themeColor="text1"/>
                <w:sz w:val="20"/>
                <w:szCs w:val="20"/>
              </w:rPr>
            </w:pPr>
            <w:r w:rsidRPr="00AC5728">
              <w:rPr>
                <w:rFonts w:cstheme="minorHAnsi"/>
                <w:b/>
                <w:bCs/>
                <w:color w:val="000000" w:themeColor="text1"/>
                <w:sz w:val="20"/>
                <w:szCs w:val="20"/>
              </w:rPr>
              <w:t xml:space="preserve">Contact </w:t>
            </w:r>
            <w:r w:rsidR="007A395C" w:rsidRPr="00D15B1C">
              <w:rPr>
                <w:rFonts w:cstheme="minorHAnsi"/>
                <w:b/>
                <w:bCs/>
                <w:color w:val="000000" w:themeColor="text1"/>
                <w:sz w:val="20"/>
                <w:szCs w:val="20"/>
              </w:rPr>
              <w:t>d</w:t>
            </w:r>
            <w:r w:rsidR="00BB5C97" w:rsidRPr="00D15B1C">
              <w:rPr>
                <w:rFonts w:cstheme="minorHAnsi"/>
                <w:b/>
                <w:bCs/>
                <w:color w:val="000000" w:themeColor="text1"/>
                <w:sz w:val="20"/>
                <w:szCs w:val="20"/>
              </w:rPr>
              <w:t>etails</w:t>
            </w:r>
          </w:p>
        </w:tc>
        <w:tc>
          <w:tcPr>
            <w:tcW w:w="7797" w:type="dxa"/>
          </w:tcPr>
          <w:p w14:paraId="36F41916" w14:textId="6475FB3A" w:rsidR="0045600D" w:rsidRPr="00AC5728" w:rsidRDefault="0045600D" w:rsidP="00B84B83">
            <w:pPr>
              <w:spacing w:after="80" w:line="247" w:lineRule="auto"/>
              <w:rPr>
                <w:rFonts w:cstheme="minorHAnsi"/>
                <w:color w:val="000000" w:themeColor="text1"/>
                <w:sz w:val="20"/>
                <w:szCs w:val="20"/>
                <w:u w:val="single"/>
              </w:rPr>
            </w:pPr>
            <w:r w:rsidRPr="00AC5728">
              <w:rPr>
                <w:rFonts w:cstheme="minorHAnsi"/>
                <w:color w:val="000000" w:themeColor="text1"/>
                <w:sz w:val="20"/>
                <w:szCs w:val="20"/>
                <w:u w:val="single"/>
              </w:rPr>
              <w:t xml:space="preserve">Section </w:t>
            </w:r>
            <w:r w:rsidR="00324B99">
              <w:rPr>
                <w:rFonts w:cstheme="minorHAnsi"/>
                <w:color w:val="000000" w:themeColor="text1"/>
                <w:sz w:val="20"/>
                <w:szCs w:val="20"/>
                <w:u w:val="single"/>
              </w:rPr>
              <w:t>7</w:t>
            </w:r>
          </w:p>
          <w:p w14:paraId="56D4B319" w14:textId="4CB06682" w:rsidR="008925B3" w:rsidRPr="00D15B1C" w:rsidRDefault="001767E1" w:rsidP="08E434CB">
            <w:pPr>
              <w:spacing w:after="80" w:line="247" w:lineRule="auto"/>
              <w:rPr>
                <w:rFonts w:cstheme="minorHAnsi"/>
                <w:color w:val="000000" w:themeColor="text1"/>
                <w:sz w:val="20"/>
                <w:szCs w:val="20"/>
              </w:rPr>
            </w:pPr>
            <w:r w:rsidRPr="00D15B1C">
              <w:rPr>
                <w:rFonts w:cstheme="minorHAnsi"/>
                <w:color w:val="000000" w:themeColor="text1"/>
                <w:sz w:val="20"/>
                <w:szCs w:val="20"/>
              </w:rPr>
              <w:t xml:space="preserve">Provide details </w:t>
            </w:r>
            <w:r w:rsidR="00E551F7" w:rsidRPr="00D15B1C">
              <w:rPr>
                <w:rFonts w:cstheme="minorHAnsi"/>
                <w:color w:val="000000" w:themeColor="text1"/>
                <w:sz w:val="20"/>
                <w:szCs w:val="20"/>
              </w:rPr>
              <w:t>of</w:t>
            </w:r>
            <w:r w:rsidRPr="00D15B1C">
              <w:rPr>
                <w:rFonts w:cstheme="minorHAnsi"/>
                <w:color w:val="000000" w:themeColor="text1"/>
                <w:sz w:val="20"/>
                <w:szCs w:val="20"/>
              </w:rPr>
              <w:t xml:space="preserve"> a key contact within your organisation</w:t>
            </w:r>
            <w:r w:rsidR="00E551F7" w:rsidRPr="00D15B1C">
              <w:rPr>
                <w:rFonts w:cstheme="minorHAnsi"/>
                <w:color w:val="000000" w:themeColor="text1"/>
                <w:sz w:val="20"/>
                <w:szCs w:val="20"/>
              </w:rPr>
              <w:t xml:space="preserve"> </w:t>
            </w:r>
            <w:r w:rsidR="00180D3E" w:rsidRPr="00D15B1C">
              <w:rPr>
                <w:rFonts w:cstheme="minorHAnsi"/>
                <w:color w:val="000000" w:themeColor="text1"/>
                <w:sz w:val="20"/>
                <w:szCs w:val="20"/>
              </w:rPr>
              <w:t xml:space="preserve">for </w:t>
            </w:r>
            <w:r w:rsidR="66C46420" w:rsidRPr="00D15B1C">
              <w:rPr>
                <w:rFonts w:cstheme="minorHAnsi"/>
                <w:color w:val="000000" w:themeColor="text1"/>
                <w:sz w:val="20"/>
                <w:szCs w:val="20"/>
              </w:rPr>
              <w:t xml:space="preserve">your </w:t>
            </w:r>
            <w:r w:rsidR="00180D3E" w:rsidRPr="00D15B1C">
              <w:rPr>
                <w:rFonts w:cstheme="minorHAnsi"/>
                <w:color w:val="000000" w:themeColor="text1"/>
                <w:sz w:val="20"/>
                <w:szCs w:val="20"/>
              </w:rPr>
              <w:t>PHR</w:t>
            </w:r>
            <w:r w:rsidR="7843BBAB" w:rsidRPr="00D15B1C">
              <w:rPr>
                <w:rFonts w:cstheme="minorHAnsi"/>
                <w:color w:val="000000" w:themeColor="text1"/>
                <w:sz w:val="20"/>
                <w:szCs w:val="20"/>
              </w:rPr>
              <w:t xml:space="preserve"> project</w:t>
            </w:r>
            <w:r w:rsidRPr="00D15B1C">
              <w:rPr>
                <w:rFonts w:cstheme="minorHAnsi"/>
                <w:color w:val="000000" w:themeColor="text1"/>
                <w:sz w:val="20"/>
                <w:szCs w:val="20"/>
              </w:rPr>
              <w:t xml:space="preserve">. </w:t>
            </w:r>
            <w:r w:rsidR="005B7287" w:rsidRPr="00D15B1C">
              <w:rPr>
                <w:rFonts w:cstheme="minorHAnsi"/>
                <w:color w:val="000000" w:themeColor="text1"/>
                <w:sz w:val="20"/>
                <w:szCs w:val="20"/>
              </w:rPr>
              <w:t xml:space="preserve">You can add additional contacts if </w:t>
            </w:r>
            <w:r w:rsidR="007A0CBF" w:rsidRPr="00D15B1C">
              <w:rPr>
                <w:rFonts w:cstheme="minorHAnsi"/>
                <w:color w:val="000000" w:themeColor="text1"/>
                <w:sz w:val="20"/>
                <w:szCs w:val="20"/>
              </w:rPr>
              <w:t xml:space="preserve">there is </w:t>
            </w:r>
            <w:r w:rsidR="005B7287" w:rsidRPr="00D15B1C">
              <w:rPr>
                <w:rFonts w:cstheme="minorHAnsi"/>
                <w:color w:val="000000" w:themeColor="text1"/>
                <w:sz w:val="20"/>
                <w:szCs w:val="20"/>
              </w:rPr>
              <w:t>more than one</w:t>
            </w:r>
            <w:r w:rsidR="00834AEA" w:rsidRPr="00D15B1C">
              <w:rPr>
                <w:rFonts w:cstheme="minorHAnsi"/>
                <w:color w:val="000000" w:themeColor="text1"/>
                <w:sz w:val="20"/>
                <w:szCs w:val="20"/>
              </w:rPr>
              <w:t xml:space="preserve"> </w:t>
            </w:r>
            <w:r w:rsidR="007D5E59" w:rsidRPr="00D15B1C">
              <w:rPr>
                <w:rFonts w:cstheme="minorHAnsi"/>
                <w:color w:val="000000" w:themeColor="text1"/>
                <w:sz w:val="20"/>
                <w:szCs w:val="20"/>
              </w:rPr>
              <w:t>person</w:t>
            </w:r>
            <w:r w:rsidR="005B7287" w:rsidRPr="00D15B1C">
              <w:rPr>
                <w:rFonts w:cstheme="minorHAnsi"/>
                <w:color w:val="000000" w:themeColor="text1"/>
                <w:sz w:val="20"/>
                <w:szCs w:val="20"/>
              </w:rPr>
              <w:t>.</w:t>
            </w:r>
          </w:p>
          <w:p w14:paraId="4F9DB81C" w14:textId="77777777" w:rsidR="00BC6FC1" w:rsidRDefault="005B7287" w:rsidP="00B84B83">
            <w:pPr>
              <w:spacing w:after="80" w:line="247" w:lineRule="auto"/>
              <w:rPr>
                <w:rFonts w:cstheme="minorHAnsi"/>
                <w:color w:val="000000" w:themeColor="text1"/>
                <w:sz w:val="20"/>
                <w:szCs w:val="20"/>
              </w:rPr>
            </w:pPr>
            <w:r w:rsidRPr="00AC5728">
              <w:rPr>
                <w:rFonts w:cstheme="minorHAnsi"/>
                <w:color w:val="000000" w:themeColor="text1"/>
                <w:sz w:val="20"/>
                <w:szCs w:val="20"/>
              </w:rPr>
              <w:t>Those listed as</w:t>
            </w:r>
            <w:r w:rsidR="001767E1" w:rsidRPr="00AC5728">
              <w:rPr>
                <w:rFonts w:cstheme="minorHAnsi"/>
                <w:color w:val="000000" w:themeColor="text1"/>
                <w:sz w:val="20"/>
                <w:szCs w:val="20"/>
              </w:rPr>
              <w:t xml:space="preserve"> contact</w:t>
            </w:r>
            <w:r w:rsidRPr="00AC5728">
              <w:rPr>
                <w:rFonts w:cstheme="minorHAnsi"/>
                <w:color w:val="000000" w:themeColor="text1"/>
                <w:sz w:val="20"/>
                <w:szCs w:val="20"/>
              </w:rPr>
              <w:t>s</w:t>
            </w:r>
            <w:r w:rsidR="001767E1" w:rsidRPr="00AC5728">
              <w:rPr>
                <w:rFonts w:cstheme="minorHAnsi"/>
                <w:color w:val="000000" w:themeColor="text1"/>
                <w:sz w:val="20"/>
                <w:szCs w:val="20"/>
              </w:rPr>
              <w:t xml:space="preserve"> will receive the reporting template link</w:t>
            </w:r>
            <w:r w:rsidRPr="00AC5728">
              <w:rPr>
                <w:rFonts w:cstheme="minorHAnsi"/>
                <w:color w:val="000000" w:themeColor="text1"/>
                <w:sz w:val="20"/>
                <w:szCs w:val="20"/>
              </w:rPr>
              <w:t>, and any advice on reporting.</w:t>
            </w:r>
          </w:p>
          <w:p w14:paraId="4A8232D7" w14:textId="77777777" w:rsidR="00BC6FC1" w:rsidRDefault="00BC6FC1" w:rsidP="00B84B83">
            <w:pPr>
              <w:spacing w:after="80" w:line="247" w:lineRule="auto"/>
              <w:rPr>
                <w:rFonts w:cstheme="minorHAnsi"/>
                <w:color w:val="000000" w:themeColor="text1"/>
                <w:sz w:val="20"/>
                <w:szCs w:val="20"/>
              </w:rPr>
            </w:pPr>
          </w:p>
          <w:p w14:paraId="0F909BDE" w14:textId="4D6F865B" w:rsidR="001767E1" w:rsidRPr="00AC5728" w:rsidRDefault="005B7287" w:rsidP="00B84B83">
            <w:pPr>
              <w:spacing w:after="80" w:line="247" w:lineRule="auto"/>
              <w:rPr>
                <w:rFonts w:cstheme="minorHAnsi"/>
                <w:color w:val="000000" w:themeColor="text1"/>
                <w:sz w:val="20"/>
                <w:szCs w:val="20"/>
              </w:rPr>
            </w:pPr>
            <w:r w:rsidRPr="00AC5728">
              <w:rPr>
                <w:rFonts w:cstheme="minorHAnsi"/>
                <w:color w:val="000000" w:themeColor="text1"/>
                <w:sz w:val="20"/>
                <w:szCs w:val="20"/>
              </w:rPr>
              <w:t xml:space="preserve"> </w:t>
            </w:r>
          </w:p>
        </w:tc>
      </w:tr>
      <w:tr w:rsidR="001767E1" w14:paraId="5FDD0DB5" w14:textId="77777777" w:rsidTr="0E2DE7DC">
        <w:tc>
          <w:tcPr>
            <w:tcW w:w="1696" w:type="dxa"/>
          </w:tcPr>
          <w:p w14:paraId="1C69EA84" w14:textId="11A28643" w:rsidR="001767E1" w:rsidRPr="00AC5728" w:rsidRDefault="00125D17" w:rsidP="001767E1">
            <w:pPr>
              <w:rPr>
                <w:rFonts w:cstheme="minorHAnsi"/>
                <w:b/>
                <w:bCs/>
                <w:color w:val="000000" w:themeColor="text1"/>
                <w:sz w:val="20"/>
                <w:szCs w:val="20"/>
              </w:rPr>
            </w:pPr>
            <w:r w:rsidRPr="00AC5728">
              <w:rPr>
                <w:rFonts w:cstheme="minorHAnsi"/>
                <w:b/>
                <w:bCs/>
                <w:color w:val="000000" w:themeColor="text1"/>
                <w:sz w:val="20"/>
                <w:szCs w:val="20"/>
              </w:rPr>
              <w:lastRenderedPageBreak/>
              <w:t>Project summary</w:t>
            </w:r>
          </w:p>
        </w:tc>
        <w:tc>
          <w:tcPr>
            <w:tcW w:w="7797" w:type="dxa"/>
          </w:tcPr>
          <w:p w14:paraId="6C7CB837" w14:textId="1D33CB25" w:rsidR="00907BB7" w:rsidRPr="00AC5728" w:rsidRDefault="00907BB7" w:rsidP="006D463A">
            <w:pPr>
              <w:spacing w:after="120" w:line="250" w:lineRule="auto"/>
              <w:rPr>
                <w:rFonts w:cstheme="minorHAnsi"/>
                <w:color w:val="000000" w:themeColor="text1"/>
                <w:sz w:val="20"/>
                <w:szCs w:val="20"/>
                <w:u w:val="single"/>
              </w:rPr>
            </w:pPr>
            <w:r w:rsidRPr="00AC5728">
              <w:rPr>
                <w:rFonts w:cstheme="minorHAnsi"/>
                <w:color w:val="000000" w:themeColor="text1"/>
                <w:sz w:val="20"/>
                <w:szCs w:val="20"/>
                <w:u w:val="single"/>
              </w:rPr>
              <w:t xml:space="preserve">Section </w:t>
            </w:r>
            <w:r w:rsidR="00324B99">
              <w:rPr>
                <w:rFonts w:cstheme="minorHAnsi"/>
                <w:color w:val="000000" w:themeColor="text1"/>
                <w:sz w:val="20"/>
                <w:szCs w:val="20"/>
                <w:u w:val="single"/>
              </w:rPr>
              <w:t>8</w:t>
            </w:r>
          </w:p>
          <w:p w14:paraId="2656829A" w14:textId="4A8E3B43" w:rsidR="00382A20" w:rsidRPr="00AC5728" w:rsidRDefault="00870988" w:rsidP="002D5E0F">
            <w:pPr>
              <w:spacing w:after="120" w:line="250" w:lineRule="auto"/>
              <w:rPr>
                <w:rFonts w:cstheme="minorHAnsi"/>
                <w:color w:val="000000" w:themeColor="text1"/>
                <w:sz w:val="20"/>
                <w:szCs w:val="20"/>
              </w:rPr>
            </w:pPr>
            <w:r w:rsidRPr="00AC5728">
              <w:rPr>
                <w:rFonts w:cstheme="minorHAnsi"/>
                <w:color w:val="000000" w:themeColor="text1"/>
                <w:sz w:val="20"/>
                <w:szCs w:val="20"/>
              </w:rPr>
              <w:t>P</w:t>
            </w:r>
            <w:r w:rsidR="0099731D" w:rsidRPr="00AC5728">
              <w:rPr>
                <w:rFonts w:cstheme="minorHAnsi"/>
                <w:color w:val="000000" w:themeColor="text1"/>
                <w:sz w:val="20"/>
                <w:szCs w:val="20"/>
              </w:rPr>
              <w:t xml:space="preserve">rovide a </w:t>
            </w:r>
            <w:r w:rsidR="00D978FF" w:rsidRPr="00AC5728">
              <w:rPr>
                <w:rFonts w:cstheme="minorHAnsi"/>
                <w:color w:val="000000" w:themeColor="text1"/>
                <w:sz w:val="20"/>
                <w:szCs w:val="20"/>
              </w:rPr>
              <w:t>high-level</w:t>
            </w:r>
            <w:r w:rsidR="00461866" w:rsidRPr="00AC5728">
              <w:rPr>
                <w:rFonts w:cstheme="minorHAnsi"/>
                <w:color w:val="000000" w:themeColor="text1"/>
                <w:sz w:val="20"/>
                <w:szCs w:val="20"/>
              </w:rPr>
              <w:t xml:space="preserve"> summary of </w:t>
            </w:r>
            <w:r w:rsidR="00430D3E" w:rsidRPr="00AC5728">
              <w:rPr>
                <w:rFonts w:cstheme="minorHAnsi"/>
                <w:color w:val="000000" w:themeColor="text1"/>
                <w:sz w:val="20"/>
                <w:szCs w:val="20"/>
              </w:rPr>
              <w:t>your p</w:t>
            </w:r>
            <w:r w:rsidR="00880840" w:rsidRPr="00AC5728">
              <w:rPr>
                <w:rFonts w:cstheme="minorHAnsi"/>
                <w:color w:val="000000" w:themeColor="text1"/>
                <w:sz w:val="20"/>
                <w:szCs w:val="20"/>
              </w:rPr>
              <w:t>roject</w:t>
            </w:r>
            <w:r w:rsidR="00AC5728">
              <w:rPr>
                <w:rFonts w:cstheme="minorHAnsi"/>
                <w:color w:val="000000" w:themeColor="text1"/>
                <w:sz w:val="20"/>
                <w:szCs w:val="20"/>
              </w:rPr>
              <w:t>.</w:t>
            </w:r>
            <w:r w:rsidR="0034028A" w:rsidRPr="00AC5728">
              <w:rPr>
                <w:rFonts w:cstheme="minorHAnsi"/>
                <w:color w:val="000000" w:themeColor="text1"/>
                <w:sz w:val="20"/>
                <w:szCs w:val="20"/>
              </w:rPr>
              <w:t xml:space="preserve"> </w:t>
            </w:r>
            <w:r w:rsidR="004B7832" w:rsidRPr="004B7832">
              <w:rPr>
                <w:rFonts w:cstheme="minorHAnsi"/>
                <w:color w:val="000000" w:themeColor="text1"/>
                <w:sz w:val="20"/>
                <w:szCs w:val="20"/>
              </w:rPr>
              <w:t xml:space="preserve">Your project summary should capture the primary project objective(s), </w:t>
            </w:r>
            <w:r w:rsidR="00625B0F" w:rsidRPr="00D15B1C">
              <w:rPr>
                <w:rFonts w:cstheme="minorHAnsi"/>
                <w:sz w:val="20"/>
                <w:szCs w:val="20"/>
              </w:rPr>
              <w:t>the target audience</w:t>
            </w:r>
            <w:r w:rsidR="00A447DE" w:rsidRPr="00D15B1C">
              <w:rPr>
                <w:rFonts w:cstheme="minorHAnsi"/>
                <w:sz w:val="20"/>
                <w:szCs w:val="20"/>
              </w:rPr>
              <w:t>,</w:t>
            </w:r>
            <w:r w:rsidR="00625B0F" w:rsidRPr="00D15B1C">
              <w:rPr>
                <w:rFonts w:cstheme="minorHAnsi"/>
                <w:sz w:val="20"/>
                <w:szCs w:val="20"/>
              </w:rPr>
              <w:t xml:space="preserve"> key stakeholders</w:t>
            </w:r>
            <w:r w:rsidR="00A447DE" w:rsidRPr="00D15B1C">
              <w:rPr>
                <w:rFonts w:cstheme="minorHAnsi"/>
                <w:sz w:val="20"/>
                <w:szCs w:val="20"/>
              </w:rPr>
              <w:t>,</w:t>
            </w:r>
            <w:r w:rsidR="00625B0F" w:rsidRPr="00D15B1C">
              <w:rPr>
                <w:rFonts w:cstheme="minorHAnsi"/>
                <w:sz w:val="20"/>
                <w:szCs w:val="20"/>
              </w:rPr>
              <w:t xml:space="preserve"> and a brief overview of the activities contributing towards the overall project outcome </w:t>
            </w:r>
            <w:r w:rsidR="00A95257" w:rsidRPr="00AC5728">
              <w:rPr>
                <w:rFonts w:cstheme="minorHAnsi"/>
                <w:color w:val="000000" w:themeColor="text1"/>
                <w:sz w:val="20"/>
                <w:szCs w:val="20"/>
              </w:rPr>
              <w:t>(</w:t>
            </w:r>
            <w:r w:rsidR="00F822C5" w:rsidRPr="00AC5728">
              <w:rPr>
                <w:rFonts w:cstheme="minorHAnsi"/>
                <w:color w:val="000000" w:themeColor="text1"/>
                <w:sz w:val="20"/>
                <w:szCs w:val="20"/>
              </w:rPr>
              <w:t>limit</w:t>
            </w:r>
            <w:r w:rsidR="004A4A85" w:rsidRPr="00AC5728">
              <w:rPr>
                <w:rFonts w:cstheme="minorHAnsi"/>
                <w:color w:val="000000" w:themeColor="text1"/>
                <w:sz w:val="20"/>
                <w:szCs w:val="20"/>
              </w:rPr>
              <w:t xml:space="preserve"> of </w:t>
            </w:r>
            <w:r w:rsidR="0034028A" w:rsidRPr="00AC5728">
              <w:rPr>
                <w:rFonts w:cstheme="minorHAnsi"/>
                <w:color w:val="000000" w:themeColor="text1"/>
                <w:sz w:val="20"/>
                <w:szCs w:val="20"/>
              </w:rPr>
              <w:t>200 words</w:t>
            </w:r>
            <w:r w:rsidR="00A95257" w:rsidRPr="00AC5728">
              <w:rPr>
                <w:rFonts w:cstheme="minorHAnsi"/>
                <w:color w:val="000000" w:themeColor="text1"/>
                <w:sz w:val="20"/>
                <w:szCs w:val="20"/>
              </w:rPr>
              <w:t>).</w:t>
            </w:r>
          </w:p>
        </w:tc>
      </w:tr>
      <w:tr w:rsidR="00FD5612" w14:paraId="0219C5EE" w14:textId="77777777" w:rsidTr="0E2DE7DC">
        <w:tc>
          <w:tcPr>
            <w:tcW w:w="1696" w:type="dxa"/>
          </w:tcPr>
          <w:p w14:paraId="26763908" w14:textId="578CB65D" w:rsidR="00FD5612" w:rsidRPr="00D15B1C" w:rsidRDefault="004F2F00" w:rsidP="08E434CB">
            <w:pPr>
              <w:rPr>
                <w:rFonts w:cstheme="minorHAnsi"/>
                <w:b/>
                <w:color w:val="000000" w:themeColor="text1"/>
                <w:sz w:val="20"/>
                <w:szCs w:val="20"/>
              </w:rPr>
            </w:pPr>
            <w:r w:rsidRPr="00D15B1C">
              <w:rPr>
                <w:rFonts w:cstheme="minorHAnsi"/>
                <w:b/>
                <w:color w:val="000000" w:themeColor="text1"/>
                <w:sz w:val="20"/>
                <w:szCs w:val="20"/>
              </w:rPr>
              <w:t>G</w:t>
            </w:r>
            <w:r w:rsidR="13C1B77A" w:rsidRPr="00D15B1C">
              <w:rPr>
                <w:rFonts w:cstheme="minorHAnsi"/>
                <w:b/>
                <w:color w:val="000000" w:themeColor="text1"/>
                <w:sz w:val="20"/>
                <w:szCs w:val="20"/>
              </w:rPr>
              <w:t xml:space="preserve">lobal Health Division </w:t>
            </w:r>
            <w:r w:rsidR="007A395C" w:rsidRPr="00D15B1C">
              <w:rPr>
                <w:rFonts w:cstheme="minorHAnsi"/>
                <w:b/>
                <w:bCs/>
                <w:color w:val="000000" w:themeColor="text1"/>
                <w:sz w:val="20"/>
                <w:szCs w:val="20"/>
              </w:rPr>
              <w:t>themes</w:t>
            </w:r>
          </w:p>
        </w:tc>
        <w:tc>
          <w:tcPr>
            <w:tcW w:w="7797" w:type="dxa"/>
          </w:tcPr>
          <w:p w14:paraId="0DB01A28" w14:textId="67051392" w:rsidR="00907BB7" w:rsidRPr="00AC5728" w:rsidRDefault="00907BB7" w:rsidP="006D463A">
            <w:pPr>
              <w:spacing w:after="120" w:line="250" w:lineRule="auto"/>
              <w:rPr>
                <w:rFonts w:cstheme="minorHAnsi"/>
                <w:color w:val="000000" w:themeColor="text1"/>
                <w:sz w:val="20"/>
                <w:szCs w:val="20"/>
                <w:u w:val="single"/>
              </w:rPr>
            </w:pPr>
            <w:r w:rsidRPr="00AC5728">
              <w:rPr>
                <w:rFonts w:cstheme="minorHAnsi"/>
                <w:color w:val="000000" w:themeColor="text1"/>
                <w:sz w:val="20"/>
                <w:szCs w:val="20"/>
                <w:u w:val="single"/>
              </w:rPr>
              <w:t xml:space="preserve">Section </w:t>
            </w:r>
            <w:r w:rsidR="00324B99">
              <w:rPr>
                <w:rFonts w:cstheme="minorHAnsi"/>
                <w:color w:val="000000" w:themeColor="text1"/>
                <w:sz w:val="20"/>
                <w:szCs w:val="20"/>
                <w:u w:val="single"/>
              </w:rPr>
              <w:t>9</w:t>
            </w:r>
          </w:p>
          <w:p w14:paraId="2076A161" w14:textId="5FD4D426" w:rsidR="00907BB7" w:rsidRPr="00AC5728" w:rsidRDefault="00BB5C97" w:rsidP="006D463A">
            <w:pPr>
              <w:spacing w:after="120" w:line="250" w:lineRule="auto"/>
              <w:rPr>
                <w:rFonts w:cstheme="minorHAnsi"/>
                <w:color w:val="000000" w:themeColor="text1"/>
                <w:sz w:val="20"/>
                <w:szCs w:val="20"/>
              </w:rPr>
            </w:pPr>
            <w:r w:rsidRPr="00AC5728">
              <w:rPr>
                <w:rFonts w:cstheme="minorHAnsi"/>
                <w:color w:val="000000" w:themeColor="text1"/>
                <w:sz w:val="20"/>
                <w:szCs w:val="20"/>
              </w:rPr>
              <w:t>Select</w:t>
            </w:r>
            <w:r w:rsidR="009F5F20" w:rsidRPr="00AC5728">
              <w:rPr>
                <w:rFonts w:cstheme="minorHAnsi"/>
                <w:color w:val="000000" w:themeColor="text1"/>
                <w:sz w:val="20"/>
                <w:szCs w:val="20"/>
              </w:rPr>
              <w:t xml:space="preserve"> relevant themes that </w:t>
            </w:r>
            <w:r w:rsidR="00AC5728" w:rsidRPr="00AC5728">
              <w:rPr>
                <w:rFonts w:cstheme="minorHAnsi"/>
                <w:color w:val="000000" w:themeColor="text1"/>
                <w:sz w:val="20"/>
                <w:szCs w:val="20"/>
              </w:rPr>
              <w:t>your</w:t>
            </w:r>
            <w:r w:rsidR="009F5F20" w:rsidRPr="00AC5728">
              <w:rPr>
                <w:rFonts w:cstheme="minorHAnsi"/>
                <w:color w:val="000000" w:themeColor="text1"/>
                <w:sz w:val="20"/>
                <w:szCs w:val="20"/>
              </w:rPr>
              <w:t xml:space="preserve"> </w:t>
            </w:r>
            <w:r w:rsidR="004F2F00" w:rsidRPr="00AC5728">
              <w:rPr>
                <w:rFonts w:cstheme="minorHAnsi"/>
                <w:color w:val="000000" w:themeColor="text1"/>
                <w:sz w:val="20"/>
                <w:szCs w:val="20"/>
              </w:rPr>
              <w:t>pro</w:t>
            </w:r>
            <w:r w:rsidR="0045600D" w:rsidRPr="00AC5728">
              <w:rPr>
                <w:rFonts w:cstheme="minorHAnsi"/>
                <w:color w:val="000000" w:themeColor="text1"/>
                <w:sz w:val="20"/>
                <w:szCs w:val="20"/>
              </w:rPr>
              <w:t>ject</w:t>
            </w:r>
            <w:r w:rsidR="00B84B83">
              <w:rPr>
                <w:rFonts w:cstheme="minorHAnsi"/>
                <w:color w:val="000000" w:themeColor="text1"/>
                <w:sz w:val="20"/>
                <w:szCs w:val="20"/>
              </w:rPr>
              <w:t xml:space="preserve"> will cover.</w:t>
            </w:r>
          </w:p>
        </w:tc>
      </w:tr>
      <w:tr w:rsidR="00037AE0" w14:paraId="3CF6639D" w14:textId="77777777" w:rsidTr="0E2DE7DC">
        <w:tc>
          <w:tcPr>
            <w:tcW w:w="1696" w:type="dxa"/>
          </w:tcPr>
          <w:p w14:paraId="009877CD" w14:textId="6890A351" w:rsidR="00037AE0" w:rsidRPr="00AC5728" w:rsidRDefault="005668E8" w:rsidP="001767E1">
            <w:pPr>
              <w:rPr>
                <w:rFonts w:cstheme="minorHAnsi"/>
                <w:b/>
                <w:bCs/>
                <w:color w:val="000000" w:themeColor="text1"/>
                <w:sz w:val="20"/>
                <w:szCs w:val="20"/>
              </w:rPr>
            </w:pPr>
            <w:r>
              <w:rPr>
                <w:rFonts w:cstheme="minorHAnsi"/>
                <w:b/>
                <w:bCs/>
                <w:color w:val="000000" w:themeColor="text1"/>
                <w:sz w:val="20"/>
                <w:szCs w:val="20"/>
              </w:rPr>
              <w:t>Achievements (Country/Region/Global)</w:t>
            </w:r>
          </w:p>
        </w:tc>
        <w:tc>
          <w:tcPr>
            <w:tcW w:w="7797" w:type="dxa"/>
          </w:tcPr>
          <w:p w14:paraId="4DB3BA6E" w14:textId="48CCACAB" w:rsidR="00907BB7" w:rsidRPr="00AC5728" w:rsidRDefault="00907BB7" w:rsidP="00AC5728">
            <w:pPr>
              <w:spacing w:after="120" w:line="250" w:lineRule="auto"/>
              <w:rPr>
                <w:rFonts w:cstheme="minorHAnsi"/>
                <w:color w:val="000000" w:themeColor="text1"/>
                <w:sz w:val="20"/>
                <w:szCs w:val="20"/>
                <w:u w:val="single"/>
              </w:rPr>
            </w:pPr>
            <w:r w:rsidRPr="00AC5728">
              <w:rPr>
                <w:rFonts w:cstheme="minorHAnsi"/>
                <w:color w:val="000000" w:themeColor="text1"/>
                <w:sz w:val="20"/>
                <w:szCs w:val="20"/>
                <w:u w:val="single"/>
              </w:rPr>
              <w:t xml:space="preserve">Section </w:t>
            </w:r>
            <w:r w:rsidR="00AE67B4">
              <w:rPr>
                <w:rFonts w:cstheme="minorHAnsi"/>
                <w:color w:val="000000" w:themeColor="text1"/>
                <w:sz w:val="20"/>
                <w:szCs w:val="20"/>
                <w:u w:val="single"/>
              </w:rPr>
              <w:t>1</w:t>
            </w:r>
            <w:r w:rsidR="00324B99">
              <w:rPr>
                <w:rFonts w:cstheme="minorHAnsi"/>
                <w:color w:val="000000" w:themeColor="text1"/>
                <w:sz w:val="20"/>
                <w:szCs w:val="20"/>
                <w:u w:val="single"/>
              </w:rPr>
              <w:t>0</w:t>
            </w:r>
          </w:p>
          <w:p w14:paraId="70E26885" w14:textId="02BF257B" w:rsidR="00AC5728" w:rsidRPr="00D15B1C" w:rsidRDefault="00870988" w:rsidP="08E434CB">
            <w:pPr>
              <w:spacing w:after="120" w:line="250" w:lineRule="auto"/>
              <w:rPr>
                <w:rFonts w:cstheme="minorHAnsi"/>
                <w:sz w:val="20"/>
                <w:szCs w:val="20"/>
              </w:rPr>
            </w:pPr>
            <w:r w:rsidRPr="00D15B1C">
              <w:rPr>
                <w:rFonts w:cstheme="minorHAnsi"/>
                <w:sz w:val="20"/>
                <w:szCs w:val="20"/>
              </w:rPr>
              <w:t>S</w:t>
            </w:r>
            <w:r w:rsidR="00E15F4F" w:rsidRPr="00D15B1C">
              <w:rPr>
                <w:rFonts w:cstheme="minorHAnsi"/>
                <w:sz w:val="20"/>
                <w:szCs w:val="20"/>
              </w:rPr>
              <w:t xml:space="preserve">elect </w:t>
            </w:r>
            <w:r w:rsidR="003369FD" w:rsidRPr="00D15B1C">
              <w:rPr>
                <w:rFonts w:cstheme="minorHAnsi"/>
                <w:sz w:val="20"/>
                <w:szCs w:val="20"/>
              </w:rPr>
              <w:t xml:space="preserve">all </w:t>
            </w:r>
            <w:r w:rsidR="00E15F4F" w:rsidRPr="00D15B1C">
              <w:rPr>
                <w:rFonts w:cstheme="minorHAnsi"/>
                <w:sz w:val="20"/>
                <w:szCs w:val="20"/>
              </w:rPr>
              <w:t xml:space="preserve">the </w:t>
            </w:r>
            <w:r w:rsidR="00DA0782" w:rsidRPr="00D15B1C">
              <w:rPr>
                <w:rFonts w:cstheme="minorHAnsi"/>
                <w:sz w:val="20"/>
                <w:szCs w:val="20"/>
              </w:rPr>
              <w:t>countries where</w:t>
            </w:r>
            <w:r w:rsidR="00E15F4F" w:rsidRPr="00D15B1C">
              <w:rPr>
                <w:rFonts w:cstheme="minorHAnsi"/>
                <w:sz w:val="20"/>
                <w:szCs w:val="20"/>
              </w:rPr>
              <w:t xml:space="preserve"> </w:t>
            </w:r>
            <w:r w:rsidR="00AC5728" w:rsidRPr="00D15B1C">
              <w:rPr>
                <w:rFonts w:cstheme="minorHAnsi"/>
                <w:sz w:val="20"/>
                <w:szCs w:val="20"/>
              </w:rPr>
              <w:t>your</w:t>
            </w:r>
            <w:r w:rsidR="00E15F4F" w:rsidRPr="00D15B1C">
              <w:rPr>
                <w:rFonts w:cstheme="minorHAnsi"/>
                <w:sz w:val="20"/>
                <w:szCs w:val="20"/>
              </w:rPr>
              <w:t xml:space="preserve"> project is currently being implemented</w:t>
            </w:r>
            <w:r w:rsidR="003369FD" w:rsidRPr="00D15B1C">
              <w:rPr>
                <w:rFonts w:cstheme="minorHAnsi"/>
                <w:sz w:val="20"/>
                <w:szCs w:val="20"/>
              </w:rPr>
              <w:t>. If your pro</w:t>
            </w:r>
            <w:r w:rsidR="003A7151" w:rsidRPr="00D15B1C">
              <w:rPr>
                <w:rFonts w:cstheme="minorHAnsi"/>
                <w:sz w:val="20"/>
                <w:szCs w:val="20"/>
              </w:rPr>
              <w:t>ject</w:t>
            </w:r>
            <w:r w:rsidR="003369FD" w:rsidRPr="00D15B1C">
              <w:rPr>
                <w:rFonts w:cstheme="minorHAnsi"/>
                <w:sz w:val="20"/>
                <w:szCs w:val="20"/>
              </w:rPr>
              <w:t xml:space="preserve"> works at</w:t>
            </w:r>
            <w:r w:rsidR="007C500D" w:rsidRPr="00D15B1C">
              <w:rPr>
                <w:rFonts w:cstheme="minorHAnsi"/>
                <w:sz w:val="20"/>
                <w:szCs w:val="20"/>
              </w:rPr>
              <w:t xml:space="preserve"> the</w:t>
            </w:r>
            <w:r w:rsidR="00AC5728" w:rsidRPr="00D15B1C">
              <w:rPr>
                <w:rFonts w:cstheme="minorHAnsi"/>
                <w:sz w:val="20"/>
                <w:szCs w:val="20"/>
              </w:rPr>
              <w:t xml:space="preserve"> Pacific or Southeast Asia </w:t>
            </w:r>
            <w:r w:rsidR="003369FD" w:rsidRPr="00D15B1C">
              <w:rPr>
                <w:rFonts w:cstheme="minorHAnsi"/>
                <w:sz w:val="20"/>
                <w:szCs w:val="20"/>
              </w:rPr>
              <w:t>regional level</w:t>
            </w:r>
            <w:r w:rsidR="00C96A99" w:rsidRPr="00D15B1C">
              <w:rPr>
                <w:rFonts w:cstheme="minorHAnsi"/>
                <w:sz w:val="20"/>
                <w:szCs w:val="20"/>
              </w:rPr>
              <w:t xml:space="preserve"> (i.e</w:t>
            </w:r>
            <w:r w:rsidR="007C500D" w:rsidRPr="00D15B1C">
              <w:rPr>
                <w:rFonts w:cstheme="minorHAnsi"/>
                <w:sz w:val="20"/>
                <w:szCs w:val="20"/>
              </w:rPr>
              <w:t>.</w:t>
            </w:r>
            <w:r w:rsidR="00C96A99" w:rsidRPr="00D15B1C">
              <w:rPr>
                <w:rFonts w:cstheme="minorHAnsi"/>
                <w:sz w:val="20"/>
                <w:szCs w:val="20"/>
              </w:rPr>
              <w:t xml:space="preserve"> where activities cannot be allocated to a specific country)</w:t>
            </w:r>
            <w:r w:rsidR="003369FD" w:rsidRPr="00D15B1C">
              <w:rPr>
                <w:rFonts w:cstheme="minorHAnsi"/>
                <w:sz w:val="20"/>
                <w:szCs w:val="20"/>
              </w:rPr>
              <w:t>, select the region</w:t>
            </w:r>
            <w:r w:rsidR="007B0B2D">
              <w:rPr>
                <w:rFonts w:cstheme="minorHAnsi"/>
                <w:sz w:val="20"/>
                <w:szCs w:val="20"/>
              </w:rPr>
              <w:t xml:space="preserve"> and if known, select the corresponding countries</w:t>
            </w:r>
            <w:r w:rsidR="003369FD" w:rsidRPr="00D15B1C">
              <w:rPr>
                <w:rFonts w:cstheme="minorHAnsi"/>
                <w:sz w:val="20"/>
                <w:szCs w:val="20"/>
              </w:rPr>
              <w:t xml:space="preserve">. </w:t>
            </w:r>
            <w:r w:rsidR="00886B91" w:rsidRPr="00D15B1C">
              <w:rPr>
                <w:rFonts w:cstheme="minorHAnsi"/>
                <w:sz w:val="20"/>
                <w:szCs w:val="20"/>
              </w:rPr>
              <w:t>If your project works at a global level</w:t>
            </w:r>
            <w:r w:rsidR="00CA631F" w:rsidRPr="00D15B1C">
              <w:rPr>
                <w:rFonts w:cstheme="minorHAnsi"/>
                <w:sz w:val="20"/>
                <w:szCs w:val="20"/>
              </w:rPr>
              <w:t xml:space="preserve">, select </w:t>
            </w:r>
            <w:r w:rsidR="00127C32" w:rsidRPr="00D15B1C">
              <w:rPr>
                <w:rFonts w:cstheme="minorHAnsi"/>
                <w:sz w:val="20"/>
                <w:szCs w:val="20"/>
              </w:rPr>
              <w:t xml:space="preserve">the </w:t>
            </w:r>
            <w:r w:rsidR="00CD43FD" w:rsidRPr="00D15B1C">
              <w:rPr>
                <w:rFonts w:cstheme="minorHAnsi"/>
                <w:sz w:val="20"/>
                <w:szCs w:val="20"/>
              </w:rPr>
              <w:t xml:space="preserve">relevant category and </w:t>
            </w:r>
            <w:r w:rsidR="008E38AC">
              <w:rPr>
                <w:rFonts w:cstheme="minorHAnsi"/>
                <w:sz w:val="20"/>
                <w:szCs w:val="20"/>
              </w:rPr>
              <w:t>if known</w:t>
            </w:r>
            <w:r w:rsidR="00CD43FD" w:rsidRPr="00D15B1C">
              <w:rPr>
                <w:rFonts w:cstheme="minorHAnsi"/>
                <w:sz w:val="20"/>
                <w:szCs w:val="20"/>
              </w:rPr>
              <w:t xml:space="preserve">, </w:t>
            </w:r>
            <w:r w:rsidR="007B0B2D">
              <w:rPr>
                <w:rFonts w:cstheme="minorHAnsi"/>
                <w:sz w:val="20"/>
                <w:szCs w:val="20"/>
              </w:rPr>
              <w:t>select corresponding countries for the project</w:t>
            </w:r>
            <w:r w:rsidR="00CA631F" w:rsidRPr="00D15B1C">
              <w:rPr>
                <w:rFonts w:cstheme="minorHAnsi"/>
                <w:sz w:val="20"/>
                <w:szCs w:val="20"/>
              </w:rPr>
              <w:t xml:space="preserve">. </w:t>
            </w:r>
            <w:r w:rsidR="0046457E" w:rsidRPr="00D15B1C">
              <w:rPr>
                <w:rFonts w:cstheme="minorHAnsi"/>
                <w:sz w:val="20"/>
                <w:szCs w:val="20"/>
              </w:rPr>
              <w:t xml:space="preserve">Your </w:t>
            </w:r>
            <w:r w:rsidR="007764A1" w:rsidRPr="00D15B1C">
              <w:rPr>
                <w:rFonts w:cstheme="minorHAnsi"/>
                <w:sz w:val="20"/>
                <w:szCs w:val="20"/>
              </w:rPr>
              <w:t>P</w:t>
            </w:r>
            <w:r w:rsidR="0046457E" w:rsidRPr="00D15B1C">
              <w:rPr>
                <w:rFonts w:cstheme="minorHAnsi"/>
                <w:sz w:val="20"/>
                <w:szCs w:val="20"/>
              </w:rPr>
              <w:t xml:space="preserve">rogram </w:t>
            </w:r>
            <w:r w:rsidR="007764A1" w:rsidRPr="00D15B1C">
              <w:rPr>
                <w:rFonts w:cstheme="minorHAnsi"/>
                <w:sz w:val="20"/>
                <w:szCs w:val="20"/>
              </w:rPr>
              <w:t>M</w:t>
            </w:r>
            <w:r w:rsidR="0046457E" w:rsidRPr="00D15B1C">
              <w:rPr>
                <w:rFonts w:cstheme="minorHAnsi"/>
                <w:sz w:val="20"/>
                <w:szCs w:val="20"/>
              </w:rPr>
              <w:t>anager wil</w:t>
            </w:r>
            <w:r w:rsidR="003A7151" w:rsidRPr="00D15B1C">
              <w:rPr>
                <w:rFonts w:cstheme="minorHAnsi"/>
                <w:sz w:val="20"/>
                <w:szCs w:val="20"/>
              </w:rPr>
              <w:t xml:space="preserve">l advise if your project is considered a regional </w:t>
            </w:r>
            <w:r w:rsidR="00CA631F" w:rsidRPr="00D15B1C">
              <w:rPr>
                <w:rFonts w:cstheme="minorHAnsi"/>
                <w:sz w:val="20"/>
                <w:szCs w:val="20"/>
              </w:rPr>
              <w:t xml:space="preserve">or global </w:t>
            </w:r>
            <w:r w:rsidR="003A7151" w:rsidRPr="00D15B1C">
              <w:rPr>
                <w:rFonts w:cstheme="minorHAnsi"/>
                <w:sz w:val="20"/>
                <w:szCs w:val="20"/>
              </w:rPr>
              <w:t>project.</w:t>
            </w:r>
          </w:p>
          <w:p w14:paraId="0B78490E" w14:textId="6682F76F" w:rsidR="00870988" w:rsidRPr="00D15B1C" w:rsidRDefault="001B77C8" w:rsidP="08E434CB">
            <w:pPr>
              <w:spacing w:after="120" w:line="250" w:lineRule="auto"/>
              <w:rPr>
                <w:rFonts w:cstheme="minorHAnsi"/>
                <w:color w:val="000000" w:themeColor="text1"/>
                <w:sz w:val="20"/>
                <w:szCs w:val="20"/>
              </w:rPr>
            </w:pPr>
            <w:r w:rsidRPr="00AC5728">
              <w:rPr>
                <w:rFonts w:cstheme="minorHAnsi"/>
                <w:color w:val="000000" w:themeColor="text1"/>
                <w:sz w:val="20"/>
                <w:szCs w:val="20"/>
              </w:rPr>
              <w:t xml:space="preserve">Provide </w:t>
            </w:r>
            <w:r w:rsidR="00C705CD" w:rsidRPr="00AC5728">
              <w:rPr>
                <w:rFonts w:cstheme="minorHAnsi"/>
                <w:color w:val="000000" w:themeColor="text1"/>
                <w:sz w:val="20"/>
                <w:szCs w:val="20"/>
              </w:rPr>
              <w:t>the budget for each</w:t>
            </w:r>
            <w:r w:rsidRPr="00AC5728">
              <w:rPr>
                <w:rFonts w:cstheme="minorHAnsi"/>
                <w:color w:val="000000" w:themeColor="text1"/>
                <w:sz w:val="20"/>
                <w:szCs w:val="20"/>
              </w:rPr>
              <w:t xml:space="preserve"> country</w:t>
            </w:r>
            <w:r w:rsidR="3C4951CF" w:rsidRPr="00AC5728">
              <w:rPr>
                <w:rFonts w:cstheme="minorHAnsi"/>
                <w:color w:val="000000" w:themeColor="text1"/>
                <w:sz w:val="20"/>
                <w:szCs w:val="20"/>
              </w:rPr>
              <w:t xml:space="preserve"> (or at the regional level). </w:t>
            </w:r>
            <w:r w:rsidR="00991BDC">
              <w:rPr>
                <w:rFonts w:cstheme="minorHAnsi"/>
                <w:color w:val="000000" w:themeColor="text1"/>
                <w:sz w:val="20"/>
                <w:szCs w:val="20"/>
              </w:rPr>
              <w:t>Country</w:t>
            </w:r>
            <w:r w:rsidR="66516CF1" w:rsidRPr="00AC5728">
              <w:rPr>
                <w:rFonts w:cstheme="minorHAnsi"/>
                <w:color w:val="000000" w:themeColor="text1"/>
                <w:sz w:val="20"/>
                <w:szCs w:val="20"/>
              </w:rPr>
              <w:t xml:space="preserve"> budget includes</w:t>
            </w:r>
            <w:r w:rsidR="002B7948">
              <w:rPr>
                <w:rFonts w:cstheme="minorHAnsi"/>
                <w:color w:val="000000" w:themeColor="text1"/>
                <w:sz w:val="20"/>
                <w:szCs w:val="20"/>
              </w:rPr>
              <w:t xml:space="preserve"> both</w:t>
            </w:r>
            <w:r w:rsidR="66516CF1" w:rsidRPr="00AC5728">
              <w:rPr>
                <w:rFonts w:cstheme="minorHAnsi"/>
                <w:color w:val="000000" w:themeColor="text1"/>
                <w:sz w:val="20"/>
                <w:szCs w:val="20"/>
              </w:rPr>
              <w:t xml:space="preserve"> directly attributable budget and a</w:t>
            </w:r>
            <w:r w:rsidR="256A18AD" w:rsidRPr="00AC5728">
              <w:rPr>
                <w:rFonts w:cstheme="minorHAnsi"/>
                <w:color w:val="000000" w:themeColor="text1"/>
                <w:sz w:val="20"/>
                <w:szCs w:val="20"/>
              </w:rPr>
              <w:t xml:space="preserve"> pro-rata </w:t>
            </w:r>
            <w:r w:rsidR="66516CF1" w:rsidRPr="00AC5728">
              <w:rPr>
                <w:rFonts w:cstheme="minorHAnsi"/>
                <w:color w:val="000000" w:themeColor="text1"/>
                <w:sz w:val="20"/>
                <w:szCs w:val="20"/>
              </w:rPr>
              <w:t xml:space="preserve">allocation of </w:t>
            </w:r>
            <w:r w:rsidR="00CD5F42">
              <w:rPr>
                <w:rFonts w:cstheme="minorHAnsi"/>
                <w:color w:val="000000" w:themeColor="text1"/>
                <w:sz w:val="20"/>
                <w:szCs w:val="20"/>
              </w:rPr>
              <w:t xml:space="preserve">all </w:t>
            </w:r>
            <w:r w:rsidR="66516CF1" w:rsidRPr="00AC5728">
              <w:rPr>
                <w:rFonts w:cstheme="minorHAnsi"/>
                <w:color w:val="000000" w:themeColor="text1"/>
                <w:sz w:val="20"/>
                <w:szCs w:val="20"/>
              </w:rPr>
              <w:t>overhead costs</w:t>
            </w:r>
            <w:r w:rsidR="00CD5F42">
              <w:rPr>
                <w:rFonts w:cstheme="minorHAnsi"/>
                <w:color w:val="000000" w:themeColor="text1"/>
                <w:sz w:val="20"/>
                <w:szCs w:val="20"/>
              </w:rPr>
              <w:t>, across</w:t>
            </w:r>
            <w:r w:rsidR="00E01DF1">
              <w:rPr>
                <w:rFonts w:cstheme="minorHAnsi"/>
                <w:color w:val="000000" w:themeColor="text1"/>
                <w:sz w:val="20"/>
                <w:szCs w:val="20"/>
              </w:rPr>
              <w:t xml:space="preserve"> </w:t>
            </w:r>
            <w:r w:rsidR="66516CF1" w:rsidRPr="00AC5728">
              <w:rPr>
                <w:rFonts w:cstheme="minorHAnsi"/>
                <w:color w:val="000000" w:themeColor="text1"/>
                <w:sz w:val="20"/>
                <w:szCs w:val="20"/>
              </w:rPr>
              <w:t xml:space="preserve">each country. </w:t>
            </w:r>
            <w:r w:rsidR="00991BDC" w:rsidRPr="00D15B1C">
              <w:rPr>
                <w:rFonts w:cstheme="minorHAnsi"/>
                <w:color w:val="000000" w:themeColor="text1"/>
                <w:sz w:val="20"/>
                <w:szCs w:val="20"/>
              </w:rPr>
              <w:t xml:space="preserve">If you have previously provided country level budgets to your Program Manager, and the information is the same, those amounts can be used. </w:t>
            </w:r>
            <w:r w:rsidR="007764A1" w:rsidRPr="00D15B1C">
              <w:rPr>
                <w:rFonts w:cstheme="minorHAnsi"/>
                <w:color w:val="000000" w:themeColor="text1"/>
                <w:sz w:val="20"/>
                <w:szCs w:val="20"/>
              </w:rPr>
              <w:t>If</w:t>
            </w:r>
            <w:r w:rsidR="007C2E10" w:rsidRPr="00D15B1C">
              <w:rPr>
                <w:rFonts w:cstheme="minorHAnsi"/>
                <w:color w:val="000000" w:themeColor="text1"/>
                <w:sz w:val="20"/>
                <w:szCs w:val="20"/>
              </w:rPr>
              <w:t xml:space="preserve"> </w:t>
            </w:r>
            <w:r w:rsidR="23B361C6" w:rsidRPr="00D15B1C">
              <w:rPr>
                <w:rFonts w:cstheme="minorHAnsi"/>
                <w:color w:val="000000" w:themeColor="text1"/>
                <w:sz w:val="20"/>
                <w:szCs w:val="20"/>
              </w:rPr>
              <w:t>your country budget allocation</w:t>
            </w:r>
            <w:r w:rsidR="00287A58" w:rsidRPr="00D15B1C">
              <w:rPr>
                <w:rFonts w:cstheme="minorHAnsi"/>
                <w:color w:val="000000" w:themeColor="text1"/>
                <w:sz w:val="20"/>
                <w:szCs w:val="20"/>
              </w:rPr>
              <w:t xml:space="preserve"> </w:t>
            </w:r>
            <w:r w:rsidR="00991BDC" w:rsidRPr="00D15B1C">
              <w:rPr>
                <w:rFonts w:cstheme="minorHAnsi"/>
                <w:color w:val="000000" w:themeColor="text1"/>
                <w:sz w:val="20"/>
                <w:szCs w:val="20"/>
              </w:rPr>
              <w:t xml:space="preserve">has changed since the design process, </w:t>
            </w:r>
            <w:r w:rsidR="19DA384C" w:rsidRPr="00D15B1C">
              <w:rPr>
                <w:rFonts w:cstheme="minorHAnsi"/>
                <w:color w:val="000000" w:themeColor="text1"/>
                <w:sz w:val="20"/>
                <w:szCs w:val="20"/>
              </w:rPr>
              <w:t xml:space="preserve">please </w:t>
            </w:r>
            <w:r w:rsidR="00991BDC" w:rsidRPr="00D15B1C">
              <w:rPr>
                <w:rFonts w:cstheme="minorHAnsi"/>
                <w:color w:val="000000" w:themeColor="text1"/>
                <w:sz w:val="20"/>
                <w:szCs w:val="20"/>
              </w:rPr>
              <w:t xml:space="preserve">include the current </w:t>
            </w:r>
            <w:r w:rsidR="007269BC" w:rsidRPr="00D15B1C">
              <w:rPr>
                <w:rFonts w:cstheme="minorHAnsi"/>
                <w:color w:val="000000" w:themeColor="text1"/>
                <w:sz w:val="20"/>
                <w:szCs w:val="20"/>
              </w:rPr>
              <w:t>allocation and advise</w:t>
            </w:r>
            <w:r w:rsidR="00F01BCA" w:rsidRPr="00D15B1C">
              <w:rPr>
                <w:rFonts w:cstheme="minorHAnsi"/>
                <w:color w:val="000000" w:themeColor="text1"/>
                <w:sz w:val="20"/>
                <w:szCs w:val="20"/>
              </w:rPr>
              <w:t xml:space="preserve"> </w:t>
            </w:r>
            <w:r w:rsidR="00AE6995" w:rsidRPr="00D15B1C">
              <w:rPr>
                <w:rFonts w:cstheme="minorHAnsi"/>
                <w:color w:val="000000" w:themeColor="text1"/>
                <w:sz w:val="20"/>
                <w:szCs w:val="20"/>
              </w:rPr>
              <w:t xml:space="preserve">your </w:t>
            </w:r>
            <w:r w:rsidR="007764A1" w:rsidRPr="00D15B1C">
              <w:rPr>
                <w:rFonts w:cstheme="minorHAnsi"/>
                <w:color w:val="000000" w:themeColor="text1"/>
                <w:sz w:val="20"/>
                <w:szCs w:val="20"/>
              </w:rPr>
              <w:t>P</w:t>
            </w:r>
            <w:r w:rsidR="00AE6995" w:rsidRPr="00D15B1C">
              <w:rPr>
                <w:rFonts w:cstheme="minorHAnsi"/>
                <w:color w:val="000000" w:themeColor="text1"/>
                <w:sz w:val="20"/>
                <w:szCs w:val="20"/>
              </w:rPr>
              <w:t xml:space="preserve">rogram </w:t>
            </w:r>
            <w:r w:rsidR="007764A1" w:rsidRPr="00D15B1C">
              <w:rPr>
                <w:rFonts w:cstheme="minorHAnsi"/>
                <w:color w:val="000000" w:themeColor="text1"/>
                <w:sz w:val="20"/>
                <w:szCs w:val="20"/>
              </w:rPr>
              <w:t>M</w:t>
            </w:r>
            <w:r w:rsidR="00AE6995" w:rsidRPr="00D15B1C">
              <w:rPr>
                <w:rFonts w:cstheme="minorHAnsi"/>
                <w:color w:val="000000" w:themeColor="text1"/>
                <w:sz w:val="20"/>
                <w:szCs w:val="20"/>
              </w:rPr>
              <w:t xml:space="preserve">anager </w:t>
            </w:r>
            <w:r w:rsidR="007269BC" w:rsidRPr="00D15B1C">
              <w:rPr>
                <w:rFonts w:cstheme="minorHAnsi"/>
                <w:color w:val="000000" w:themeColor="text1"/>
                <w:sz w:val="20"/>
                <w:szCs w:val="20"/>
              </w:rPr>
              <w:t xml:space="preserve">that there has been a change. </w:t>
            </w:r>
            <w:r w:rsidR="008430DC" w:rsidRPr="00D15B1C">
              <w:rPr>
                <w:rFonts w:cstheme="minorHAnsi"/>
                <w:color w:val="000000" w:themeColor="text1"/>
                <w:sz w:val="20"/>
                <w:szCs w:val="20"/>
              </w:rPr>
              <w:t xml:space="preserve">If DFAT’s contribution for the global project is known, </w:t>
            </w:r>
            <w:r w:rsidR="003E6EE7" w:rsidRPr="00D15B1C">
              <w:rPr>
                <w:rFonts w:cstheme="minorHAnsi"/>
                <w:color w:val="000000" w:themeColor="text1"/>
                <w:sz w:val="20"/>
                <w:szCs w:val="20"/>
              </w:rPr>
              <w:t>state that number.</w:t>
            </w:r>
          </w:p>
          <w:p w14:paraId="38B79A7E" w14:textId="73065F61" w:rsidR="005366B8" w:rsidRPr="005366B8" w:rsidRDefault="005366B8" w:rsidP="08E434CB">
            <w:pPr>
              <w:spacing w:after="120" w:line="250" w:lineRule="auto"/>
              <w:rPr>
                <w:rFonts w:cstheme="minorHAnsi"/>
                <w:sz w:val="20"/>
                <w:szCs w:val="20"/>
              </w:rPr>
            </w:pPr>
            <w:r w:rsidRPr="00D15B1C">
              <w:rPr>
                <w:rFonts w:cstheme="minorHAnsi"/>
                <w:color w:val="000000" w:themeColor="text1"/>
                <w:sz w:val="20"/>
                <w:szCs w:val="20"/>
              </w:rPr>
              <w:t xml:space="preserve">Provide a summary of </w:t>
            </w:r>
            <w:r w:rsidR="00877AB4" w:rsidRPr="00D15B1C">
              <w:rPr>
                <w:rFonts w:cstheme="minorHAnsi"/>
                <w:color w:val="000000" w:themeColor="text1"/>
                <w:sz w:val="20"/>
                <w:szCs w:val="20"/>
              </w:rPr>
              <w:t>your p</w:t>
            </w:r>
            <w:r w:rsidR="007B18ED" w:rsidRPr="00D15B1C">
              <w:rPr>
                <w:rFonts w:cstheme="minorHAnsi"/>
                <w:color w:val="000000" w:themeColor="text1"/>
                <w:sz w:val="20"/>
                <w:szCs w:val="20"/>
              </w:rPr>
              <w:t>roject</w:t>
            </w:r>
            <w:r w:rsidR="00877AB4" w:rsidRPr="00D15B1C">
              <w:rPr>
                <w:rFonts w:cstheme="minorHAnsi"/>
                <w:color w:val="000000" w:themeColor="text1"/>
                <w:sz w:val="20"/>
                <w:szCs w:val="20"/>
              </w:rPr>
              <w:t xml:space="preserve"> in each country</w:t>
            </w:r>
            <w:r w:rsidR="00A24668" w:rsidRPr="00D15B1C">
              <w:rPr>
                <w:rFonts w:cstheme="minorHAnsi"/>
                <w:color w:val="000000" w:themeColor="text1"/>
                <w:sz w:val="20"/>
                <w:szCs w:val="20"/>
              </w:rPr>
              <w:t>,</w:t>
            </w:r>
            <w:r w:rsidR="00877AB4" w:rsidRPr="00D15B1C">
              <w:rPr>
                <w:rFonts w:cstheme="minorHAnsi"/>
                <w:color w:val="000000" w:themeColor="text1"/>
                <w:sz w:val="20"/>
                <w:szCs w:val="20"/>
              </w:rPr>
              <w:t xml:space="preserve"> includ</w:t>
            </w:r>
            <w:r w:rsidR="00A24668" w:rsidRPr="00D15B1C">
              <w:rPr>
                <w:rFonts w:cstheme="minorHAnsi"/>
                <w:color w:val="000000" w:themeColor="text1"/>
                <w:sz w:val="20"/>
                <w:szCs w:val="20"/>
              </w:rPr>
              <w:t>ing</w:t>
            </w:r>
            <w:r w:rsidR="00877AB4" w:rsidRPr="00D15B1C">
              <w:rPr>
                <w:rFonts w:cstheme="minorHAnsi"/>
                <w:color w:val="000000" w:themeColor="text1"/>
                <w:sz w:val="20"/>
                <w:szCs w:val="20"/>
              </w:rPr>
              <w:t xml:space="preserve"> high</w:t>
            </w:r>
            <w:r w:rsidR="00A24668" w:rsidRPr="00D15B1C">
              <w:rPr>
                <w:rFonts w:cstheme="minorHAnsi"/>
                <w:color w:val="000000" w:themeColor="text1"/>
                <w:sz w:val="20"/>
                <w:szCs w:val="20"/>
              </w:rPr>
              <w:t>-</w:t>
            </w:r>
            <w:r w:rsidR="00877AB4" w:rsidRPr="00D15B1C">
              <w:rPr>
                <w:rFonts w:cstheme="minorHAnsi"/>
                <w:color w:val="000000" w:themeColor="text1"/>
                <w:sz w:val="20"/>
                <w:szCs w:val="20"/>
              </w:rPr>
              <w:t>level outcome</w:t>
            </w:r>
            <w:r w:rsidR="00A24668" w:rsidRPr="00D15B1C">
              <w:rPr>
                <w:rFonts w:cstheme="minorHAnsi"/>
                <w:color w:val="000000" w:themeColor="text1"/>
                <w:sz w:val="20"/>
                <w:szCs w:val="20"/>
              </w:rPr>
              <w:t>s</w:t>
            </w:r>
            <w:r w:rsidR="00877AB4" w:rsidRPr="00D15B1C">
              <w:rPr>
                <w:rFonts w:cstheme="minorHAnsi"/>
                <w:color w:val="000000" w:themeColor="text1"/>
                <w:sz w:val="20"/>
                <w:szCs w:val="20"/>
              </w:rPr>
              <w:t xml:space="preserve"> and activities. If still relevant</w:t>
            </w:r>
            <w:r w:rsidR="00316E15" w:rsidRPr="00D15B1C">
              <w:rPr>
                <w:rFonts w:cstheme="minorHAnsi"/>
                <w:color w:val="000000" w:themeColor="text1"/>
                <w:sz w:val="20"/>
                <w:szCs w:val="20"/>
              </w:rPr>
              <w:t>,</w:t>
            </w:r>
            <w:r w:rsidR="00877AB4" w:rsidRPr="00D15B1C">
              <w:rPr>
                <w:rFonts w:cstheme="minorHAnsi"/>
                <w:color w:val="000000" w:themeColor="text1"/>
                <w:sz w:val="20"/>
                <w:szCs w:val="20"/>
              </w:rPr>
              <w:t xml:space="preserve"> you can copy summaries you have previously provided.</w:t>
            </w:r>
            <w:r w:rsidR="00C527E7" w:rsidRPr="00D15B1C">
              <w:rPr>
                <w:rFonts w:cstheme="minorHAnsi"/>
                <w:color w:val="000000" w:themeColor="text1"/>
                <w:sz w:val="20"/>
                <w:szCs w:val="20"/>
              </w:rPr>
              <w:t xml:space="preserve"> Similarly</w:t>
            </w:r>
            <w:r w:rsidR="007B18ED" w:rsidRPr="00D15B1C">
              <w:rPr>
                <w:rFonts w:cstheme="minorHAnsi"/>
                <w:color w:val="000000" w:themeColor="text1"/>
                <w:sz w:val="20"/>
                <w:szCs w:val="20"/>
              </w:rPr>
              <w:t>,</w:t>
            </w:r>
            <w:r w:rsidR="00C527E7" w:rsidRPr="00D15B1C">
              <w:rPr>
                <w:rFonts w:cstheme="minorHAnsi"/>
                <w:color w:val="000000" w:themeColor="text1"/>
                <w:sz w:val="20"/>
                <w:szCs w:val="20"/>
              </w:rPr>
              <w:t xml:space="preserve"> provide updates if your project is at the regional or global level.</w:t>
            </w:r>
          </w:p>
          <w:p w14:paraId="7438AA9E" w14:textId="3102E8AA" w:rsidR="00037AE0" w:rsidRPr="00AC5728" w:rsidRDefault="00F37A16" w:rsidP="00AC5728">
            <w:pPr>
              <w:spacing w:after="120" w:line="250" w:lineRule="auto"/>
              <w:rPr>
                <w:rFonts w:cstheme="minorHAnsi"/>
                <w:color w:val="000000" w:themeColor="text1"/>
                <w:sz w:val="20"/>
                <w:szCs w:val="20"/>
              </w:rPr>
            </w:pPr>
            <w:r>
              <w:rPr>
                <w:rFonts w:cstheme="minorHAnsi"/>
                <w:color w:val="000000" w:themeColor="text1"/>
                <w:sz w:val="20"/>
                <w:szCs w:val="20"/>
              </w:rPr>
              <w:t xml:space="preserve">The project focus and corresponding countries </w:t>
            </w:r>
            <w:r w:rsidR="005366B8">
              <w:rPr>
                <w:rFonts w:cstheme="minorHAnsi"/>
                <w:color w:val="000000" w:themeColor="text1"/>
                <w:sz w:val="20"/>
                <w:szCs w:val="20"/>
              </w:rPr>
              <w:t xml:space="preserve">selected will </w:t>
            </w:r>
            <w:r w:rsidR="00BB5BF6">
              <w:rPr>
                <w:rFonts w:cstheme="minorHAnsi"/>
                <w:color w:val="000000" w:themeColor="text1"/>
                <w:sz w:val="20"/>
                <w:szCs w:val="20"/>
              </w:rPr>
              <w:t xml:space="preserve">be </w:t>
            </w:r>
            <w:r w:rsidR="007269BC">
              <w:rPr>
                <w:rFonts w:cstheme="minorHAnsi"/>
                <w:color w:val="000000" w:themeColor="text1"/>
                <w:sz w:val="20"/>
                <w:szCs w:val="20"/>
              </w:rPr>
              <w:t>pre-</w:t>
            </w:r>
            <w:r w:rsidR="003369FD" w:rsidRPr="00AC5728">
              <w:rPr>
                <w:rFonts w:cstheme="minorHAnsi"/>
                <w:color w:val="000000" w:themeColor="text1"/>
                <w:sz w:val="20"/>
                <w:szCs w:val="20"/>
              </w:rPr>
              <w:t>populate</w:t>
            </w:r>
            <w:r w:rsidR="008A5CF8">
              <w:rPr>
                <w:rFonts w:cstheme="minorHAnsi"/>
                <w:color w:val="000000" w:themeColor="text1"/>
                <w:sz w:val="20"/>
                <w:szCs w:val="20"/>
              </w:rPr>
              <w:t>d in</w:t>
            </w:r>
            <w:r w:rsidR="003369FD" w:rsidRPr="00AC5728">
              <w:rPr>
                <w:rFonts w:cstheme="minorHAnsi"/>
                <w:color w:val="000000" w:themeColor="text1"/>
                <w:sz w:val="20"/>
                <w:szCs w:val="20"/>
              </w:rPr>
              <w:t xml:space="preserve"> the </w:t>
            </w:r>
            <w:r w:rsidR="00F01BCA" w:rsidRPr="00AC5728">
              <w:rPr>
                <w:rFonts w:cstheme="minorHAnsi"/>
                <w:color w:val="000000" w:themeColor="text1"/>
                <w:sz w:val="20"/>
                <w:szCs w:val="20"/>
              </w:rPr>
              <w:t>Annu</w:t>
            </w:r>
            <w:r w:rsidR="005366B8">
              <w:rPr>
                <w:rFonts w:cstheme="minorHAnsi"/>
                <w:color w:val="000000" w:themeColor="text1"/>
                <w:sz w:val="20"/>
                <w:szCs w:val="20"/>
              </w:rPr>
              <w:t>a</w:t>
            </w:r>
            <w:r w:rsidR="00F01BCA" w:rsidRPr="00AC5728">
              <w:rPr>
                <w:rFonts w:cstheme="minorHAnsi"/>
                <w:color w:val="000000" w:themeColor="text1"/>
                <w:sz w:val="20"/>
                <w:szCs w:val="20"/>
              </w:rPr>
              <w:t xml:space="preserve">l </w:t>
            </w:r>
            <w:r w:rsidR="00470AA7">
              <w:rPr>
                <w:rFonts w:cstheme="minorHAnsi"/>
                <w:color w:val="000000" w:themeColor="text1"/>
                <w:sz w:val="20"/>
                <w:szCs w:val="20"/>
              </w:rPr>
              <w:t xml:space="preserve">Partner </w:t>
            </w:r>
            <w:r w:rsidR="00F01BCA" w:rsidRPr="00AC5728">
              <w:rPr>
                <w:rFonts w:cstheme="minorHAnsi"/>
                <w:color w:val="000000" w:themeColor="text1"/>
                <w:sz w:val="20"/>
                <w:szCs w:val="20"/>
              </w:rPr>
              <w:t xml:space="preserve">Update </w:t>
            </w:r>
            <w:r w:rsidR="00471A30">
              <w:rPr>
                <w:rFonts w:cstheme="minorHAnsi"/>
                <w:color w:val="000000" w:themeColor="text1"/>
                <w:sz w:val="20"/>
                <w:szCs w:val="20"/>
              </w:rPr>
              <w:t>F</w:t>
            </w:r>
            <w:r w:rsidR="00F01BCA" w:rsidRPr="00AC5728">
              <w:rPr>
                <w:rFonts w:cstheme="minorHAnsi"/>
                <w:color w:val="000000" w:themeColor="text1"/>
                <w:sz w:val="20"/>
                <w:szCs w:val="20"/>
              </w:rPr>
              <w:t>orm</w:t>
            </w:r>
            <w:r w:rsidR="00C57AA3" w:rsidRPr="00AC5728">
              <w:rPr>
                <w:rFonts w:cstheme="minorHAnsi"/>
                <w:color w:val="000000" w:themeColor="text1"/>
                <w:sz w:val="20"/>
                <w:szCs w:val="20"/>
              </w:rPr>
              <w:t xml:space="preserve">. </w:t>
            </w:r>
          </w:p>
        </w:tc>
      </w:tr>
      <w:tr w:rsidR="00E15F4F" w14:paraId="13FF8590" w14:textId="77777777" w:rsidTr="0E2DE7DC">
        <w:tc>
          <w:tcPr>
            <w:tcW w:w="1696" w:type="dxa"/>
          </w:tcPr>
          <w:p w14:paraId="0B0E591A" w14:textId="3A23C3DE" w:rsidR="00E15F4F" w:rsidRPr="00AC5728" w:rsidRDefault="003648EE" w:rsidP="001767E1">
            <w:pPr>
              <w:rPr>
                <w:rFonts w:cstheme="minorHAnsi"/>
                <w:b/>
                <w:bCs/>
                <w:color w:val="000000" w:themeColor="text1"/>
                <w:sz w:val="20"/>
                <w:szCs w:val="20"/>
              </w:rPr>
            </w:pPr>
            <w:r w:rsidRPr="00AC5728">
              <w:rPr>
                <w:rFonts w:cstheme="minorHAnsi"/>
                <w:b/>
                <w:bCs/>
                <w:color w:val="000000" w:themeColor="text1"/>
                <w:sz w:val="20"/>
                <w:szCs w:val="20"/>
              </w:rPr>
              <w:t xml:space="preserve">Independent </w:t>
            </w:r>
            <w:r w:rsidR="007A395C" w:rsidRPr="00D15B1C">
              <w:rPr>
                <w:rFonts w:cstheme="minorHAnsi"/>
                <w:b/>
                <w:bCs/>
                <w:color w:val="000000" w:themeColor="text1"/>
                <w:sz w:val="20"/>
                <w:szCs w:val="20"/>
              </w:rPr>
              <w:t>r</w:t>
            </w:r>
            <w:r w:rsidRPr="00D15B1C">
              <w:rPr>
                <w:rFonts w:cstheme="minorHAnsi"/>
                <w:b/>
                <w:bCs/>
                <w:color w:val="000000" w:themeColor="text1"/>
                <w:sz w:val="20"/>
                <w:szCs w:val="20"/>
              </w:rPr>
              <w:t>eview/</w:t>
            </w:r>
            <w:r w:rsidR="006E7C46" w:rsidRPr="00D15B1C">
              <w:rPr>
                <w:rFonts w:cstheme="minorHAnsi"/>
                <w:b/>
                <w:bCs/>
                <w:color w:val="000000" w:themeColor="text1"/>
                <w:sz w:val="20"/>
                <w:szCs w:val="20"/>
              </w:rPr>
              <w:t xml:space="preserve"> </w:t>
            </w:r>
            <w:r w:rsidR="007A395C" w:rsidRPr="00D15B1C">
              <w:rPr>
                <w:rFonts w:cstheme="minorHAnsi"/>
                <w:b/>
                <w:bCs/>
                <w:color w:val="000000" w:themeColor="text1"/>
                <w:sz w:val="20"/>
                <w:szCs w:val="20"/>
              </w:rPr>
              <w:t>e</w:t>
            </w:r>
            <w:r w:rsidRPr="00D15B1C">
              <w:rPr>
                <w:rFonts w:cstheme="minorHAnsi"/>
                <w:b/>
                <w:bCs/>
                <w:color w:val="000000" w:themeColor="text1"/>
                <w:sz w:val="20"/>
                <w:szCs w:val="20"/>
              </w:rPr>
              <w:t>valuation</w:t>
            </w:r>
            <w:r w:rsidRPr="00AC5728">
              <w:rPr>
                <w:rFonts w:cstheme="minorHAnsi"/>
                <w:b/>
                <w:bCs/>
                <w:color w:val="000000" w:themeColor="text1"/>
                <w:sz w:val="20"/>
                <w:szCs w:val="20"/>
              </w:rPr>
              <w:t xml:space="preserve"> </w:t>
            </w:r>
          </w:p>
        </w:tc>
        <w:tc>
          <w:tcPr>
            <w:tcW w:w="7797" w:type="dxa"/>
          </w:tcPr>
          <w:p w14:paraId="33DBFD0E" w14:textId="6F08F3C9" w:rsidR="00135295" w:rsidRPr="00AC5728" w:rsidRDefault="00135295" w:rsidP="00AC5728">
            <w:pPr>
              <w:spacing w:after="120" w:line="250" w:lineRule="auto"/>
              <w:rPr>
                <w:rFonts w:cstheme="minorHAnsi"/>
                <w:color w:val="000000" w:themeColor="text1"/>
                <w:sz w:val="20"/>
                <w:szCs w:val="20"/>
                <w:u w:val="single"/>
              </w:rPr>
            </w:pPr>
            <w:r w:rsidRPr="00AC5728">
              <w:rPr>
                <w:rFonts w:cstheme="minorHAnsi"/>
                <w:color w:val="000000" w:themeColor="text1"/>
                <w:sz w:val="20"/>
                <w:szCs w:val="20"/>
                <w:u w:val="single"/>
              </w:rPr>
              <w:t xml:space="preserve">Section </w:t>
            </w:r>
            <w:r w:rsidR="00AE67B4">
              <w:rPr>
                <w:rFonts w:cstheme="minorHAnsi"/>
                <w:color w:val="000000" w:themeColor="text1"/>
                <w:sz w:val="20"/>
                <w:szCs w:val="20"/>
                <w:u w:val="single"/>
              </w:rPr>
              <w:t>1</w:t>
            </w:r>
            <w:r w:rsidR="00324B99">
              <w:rPr>
                <w:rFonts w:cstheme="minorHAnsi"/>
                <w:color w:val="000000" w:themeColor="text1"/>
                <w:sz w:val="20"/>
                <w:szCs w:val="20"/>
                <w:u w:val="single"/>
              </w:rPr>
              <w:t>1</w:t>
            </w:r>
          </w:p>
          <w:p w14:paraId="1143F680" w14:textId="4C9F0654" w:rsidR="0022053F" w:rsidRDefault="00870988" w:rsidP="00AC5728">
            <w:pPr>
              <w:spacing w:after="120" w:line="250" w:lineRule="auto"/>
              <w:rPr>
                <w:rFonts w:cstheme="minorHAnsi"/>
                <w:color w:val="000000" w:themeColor="text1"/>
                <w:sz w:val="20"/>
                <w:szCs w:val="20"/>
              </w:rPr>
            </w:pPr>
            <w:r w:rsidRPr="00AC5728">
              <w:rPr>
                <w:rFonts w:cstheme="minorHAnsi"/>
                <w:color w:val="000000" w:themeColor="text1"/>
                <w:sz w:val="20"/>
                <w:szCs w:val="20"/>
              </w:rPr>
              <w:t>S</w:t>
            </w:r>
            <w:r w:rsidR="009B200A" w:rsidRPr="00AC5728">
              <w:rPr>
                <w:rFonts w:cstheme="minorHAnsi"/>
                <w:color w:val="000000" w:themeColor="text1"/>
                <w:sz w:val="20"/>
                <w:szCs w:val="20"/>
              </w:rPr>
              <w:t xml:space="preserve">elect whether </w:t>
            </w:r>
            <w:r w:rsidR="00A3116E" w:rsidRPr="00AC5728">
              <w:rPr>
                <w:rFonts w:cstheme="minorHAnsi"/>
                <w:color w:val="000000" w:themeColor="text1"/>
                <w:sz w:val="20"/>
                <w:szCs w:val="20"/>
              </w:rPr>
              <w:t>a</w:t>
            </w:r>
            <w:r w:rsidR="00946133">
              <w:rPr>
                <w:rFonts w:cstheme="minorHAnsi"/>
                <w:color w:val="000000" w:themeColor="text1"/>
                <w:sz w:val="20"/>
                <w:szCs w:val="20"/>
              </w:rPr>
              <w:t xml:space="preserve"> </w:t>
            </w:r>
            <w:r w:rsidR="007049A9">
              <w:rPr>
                <w:rFonts w:cstheme="minorHAnsi"/>
                <w:color w:val="000000" w:themeColor="text1"/>
                <w:sz w:val="20"/>
                <w:szCs w:val="20"/>
              </w:rPr>
              <w:t>mid-term</w:t>
            </w:r>
            <w:r w:rsidR="00A3116E" w:rsidRPr="00AC5728">
              <w:rPr>
                <w:rFonts w:cstheme="minorHAnsi"/>
                <w:color w:val="000000" w:themeColor="text1"/>
                <w:sz w:val="20"/>
                <w:szCs w:val="20"/>
              </w:rPr>
              <w:t xml:space="preserve"> </w:t>
            </w:r>
            <w:r w:rsidR="009B200A" w:rsidRPr="00AC5728">
              <w:rPr>
                <w:rFonts w:cstheme="minorHAnsi"/>
                <w:color w:val="000000" w:themeColor="text1"/>
                <w:sz w:val="20"/>
                <w:szCs w:val="20"/>
              </w:rPr>
              <w:t>review or</w:t>
            </w:r>
            <w:r w:rsidR="007049A9">
              <w:rPr>
                <w:rFonts w:cstheme="minorHAnsi"/>
                <w:color w:val="000000" w:themeColor="text1"/>
                <w:sz w:val="20"/>
                <w:szCs w:val="20"/>
              </w:rPr>
              <w:t xml:space="preserve"> end of program</w:t>
            </w:r>
            <w:r w:rsidR="009B200A" w:rsidRPr="00AC5728">
              <w:rPr>
                <w:rFonts w:cstheme="minorHAnsi"/>
                <w:color w:val="000000" w:themeColor="text1"/>
                <w:sz w:val="20"/>
                <w:szCs w:val="20"/>
              </w:rPr>
              <w:t xml:space="preserve"> evaluation is planned during the lifecycle of </w:t>
            </w:r>
            <w:r w:rsidR="006E7C46">
              <w:rPr>
                <w:rFonts w:cstheme="minorHAnsi"/>
                <w:color w:val="000000" w:themeColor="text1"/>
                <w:sz w:val="20"/>
                <w:szCs w:val="20"/>
              </w:rPr>
              <w:t>your</w:t>
            </w:r>
            <w:r w:rsidR="009B200A" w:rsidRPr="00AC5728">
              <w:rPr>
                <w:rFonts w:cstheme="minorHAnsi"/>
                <w:color w:val="000000" w:themeColor="text1"/>
                <w:sz w:val="20"/>
                <w:szCs w:val="20"/>
              </w:rPr>
              <w:t xml:space="preserve"> project. If there are plans to conduct both, please select ‘both’. If you have not yet reached a decision on </w:t>
            </w:r>
            <w:r w:rsidR="007049A9">
              <w:rPr>
                <w:rFonts w:cstheme="minorHAnsi"/>
                <w:color w:val="000000" w:themeColor="text1"/>
                <w:sz w:val="20"/>
                <w:szCs w:val="20"/>
              </w:rPr>
              <w:t xml:space="preserve">a </w:t>
            </w:r>
            <w:r w:rsidR="00CD5F42">
              <w:rPr>
                <w:rFonts w:cstheme="minorHAnsi"/>
                <w:color w:val="000000" w:themeColor="text1"/>
                <w:sz w:val="20"/>
                <w:szCs w:val="20"/>
              </w:rPr>
              <w:t>mid-term</w:t>
            </w:r>
            <w:r w:rsidR="00A3116E" w:rsidRPr="00AC5728">
              <w:rPr>
                <w:rFonts w:cstheme="minorHAnsi"/>
                <w:color w:val="000000" w:themeColor="text1"/>
                <w:sz w:val="20"/>
                <w:szCs w:val="20"/>
              </w:rPr>
              <w:t xml:space="preserve"> review or </w:t>
            </w:r>
            <w:r w:rsidR="007049A9">
              <w:rPr>
                <w:rFonts w:cstheme="minorHAnsi"/>
                <w:color w:val="000000" w:themeColor="text1"/>
                <w:sz w:val="20"/>
                <w:szCs w:val="20"/>
              </w:rPr>
              <w:t>end of program</w:t>
            </w:r>
            <w:r w:rsidR="00A3116E" w:rsidRPr="00AC5728">
              <w:rPr>
                <w:rFonts w:cstheme="minorHAnsi"/>
                <w:color w:val="000000" w:themeColor="text1"/>
                <w:sz w:val="20"/>
                <w:szCs w:val="20"/>
              </w:rPr>
              <w:t xml:space="preserve"> evaluation, select ‘to be </w:t>
            </w:r>
            <w:r w:rsidR="00C13AEA" w:rsidRPr="00AC5728">
              <w:rPr>
                <w:rFonts w:cstheme="minorHAnsi"/>
                <w:color w:val="000000" w:themeColor="text1"/>
                <w:sz w:val="20"/>
                <w:szCs w:val="20"/>
              </w:rPr>
              <w:t>determined</w:t>
            </w:r>
            <w:r w:rsidR="00A3116E" w:rsidRPr="00AC5728">
              <w:rPr>
                <w:rFonts w:cstheme="minorHAnsi"/>
                <w:color w:val="000000" w:themeColor="text1"/>
                <w:sz w:val="20"/>
                <w:szCs w:val="20"/>
              </w:rPr>
              <w:t>’.</w:t>
            </w:r>
          </w:p>
          <w:p w14:paraId="3BE848E6" w14:textId="77777777" w:rsidR="00F5021A" w:rsidRPr="00F5021A" w:rsidRDefault="001878A2" w:rsidP="00AC5728">
            <w:pPr>
              <w:spacing w:after="120" w:line="250" w:lineRule="auto"/>
              <w:rPr>
                <w:rFonts w:cstheme="minorHAnsi"/>
                <w:color w:val="000000" w:themeColor="text1"/>
                <w:sz w:val="20"/>
                <w:szCs w:val="20"/>
                <w:u w:val="single"/>
              </w:rPr>
            </w:pPr>
            <w:r w:rsidRPr="00F5021A">
              <w:rPr>
                <w:rFonts w:cstheme="minorHAnsi"/>
                <w:color w:val="000000" w:themeColor="text1"/>
                <w:sz w:val="20"/>
                <w:szCs w:val="20"/>
                <w:u w:val="single"/>
              </w:rPr>
              <w:t>Section 12</w:t>
            </w:r>
          </w:p>
          <w:p w14:paraId="407CEF92" w14:textId="7BDF2DAD" w:rsidR="00CC0E13" w:rsidRPr="00AC5728" w:rsidRDefault="00685A41" w:rsidP="00AC5728">
            <w:pPr>
              <w:spacing w:after="120" w:line="250" w:lineRule="auto"/>
              <w:rPr>
                <w:rFonts w:cstheme="minorHAnsi"/>
                <w:color w:val="000000" w:themeColor="text1"/>
                <w:sz w:val="20"/>
                <w:szCs w:val="20"/>
              </w:rPr>
            </w:pPr>
            <w:r w:rsidRPr="00D15B1C">
              <w:rPr>
                <w:rFonts w:cstheme="minorHAnsi"/>
                <w:color w:val="000000" w:themeColor="text1"/>
                <w:sz w:val="20"/>
                <w:szCs w:val="20"/>
              </w:rPr>
              <w:t>If you have a mid-term review or end of program evaluation planned and budgeted within your agreement, select the appropriate response.</w:t>
            </w:r>
          </w:p>
        </w:tc>
      </w:tr>
      <w:tr w:rsidR="00DD3366" w14:paraId="06E461E4" w14:textId="77777777" w:rsidTr="0E2DE7DC">
        <w:tc>
          <w:tcPr>
            <w:tcW w:w="9493" w:type="dxa"/>
            <w:gridSpan w:val="2"/>
            <w:shd w:val="clear" w:color="auto" w:fill="EDEDED" w:themeFill="accent3" w:themeFillTint="33"/>
          </w:tcPr>
          <w:p w14:paraId="4D2B0825" w14:textId="0413A7E0" w:rsidR="00DD3366" w:rsidRPr="00D15B1C" w:rsidRDefault="00DD3366" w:rsidP="00DD3366">
            <w:pPr>
              <w:jc w:val="center"/>
              <w:rPr>
                <w:rFonts w:cstheme="minorHAnsi"/>
                <w:color w:val="000000" w:themeColor="text1"/>
                <w:sz w:val="20"/>
                <w:szCs w:val="20"/>
              </w:rPr>
            </w:pPr>
            <w:r w:rsidRPr="00D15B1C">
              <w:rPr>
                <w:rFonts w:cstheme="minorHAnsi"/>
                <w:b/>
                <w:color w:val="000000" w:themeColor="text1"/>
                <w:sz w:val="20"/>
                <w:szCs w:val="20"/>
              </w:rPr>
              <w:t>Page 2</w:t>
            </w:r>
            <w:r w:rsidR="001934CB" w:rsidRPr="00D15B1C">
              <w:rPr>
                <w:rFonts w:cstheme="minorHAnsi"/>
                <w:b/>
                <w:bCs/>
                <w:color w:val="000000" w:themeColor="text1"/>
                <w:sz w:val="20"/>
                <w:szCs w:val="20"/>
              </w:rPr>
              <w:t xml:space="preserve"> –</w:t>
            </w:r>
            <w:r w:rsidR="00C62F76" w:rsidRPr="00D15B1C">
              <w:rPr>
                <w:rFonts w:cstheme="minorHAnsi"/>
                <w:b/>
                <w:color w:val="000000" w:themeColor="text1"/>
                <w:sz w:val="20"/>
                <w:szCs w:val="20"/>
              </w:rPr>
              <w:t xml:space="preserve"> Alignment with PHR Outcomes and Indicators</w:t>
            </w:r>
          </w:p>
        </w:tc>
      </w:tr>
      <w:tr w:rsidR="000A7A62" w14:paraId="067A8CE3" w14:textId="77777777" w:rsidTr="0E2DE7DC">
        <w:tc>
          <w:tcPr>
            <w:tcW w:w="9493" w:type="dxa"/>
            <w:gridSpan w:val="2"/>
          </w:tcPr>
          <w:p w14:paraId="090F1C17" w14:textId="12ACFC62" w:rsidR="00C076BE" w:rsidRPr="00D15B1C" w:rsidRDefault="000A7A62" w:rsidP="00E416F7">
            <w:pPr>
              <w:spacing w:after="80"/>
              <w:rPr>
                <w:rFonts w:cstheme="minorHAnsi"/>
                <w:color w:val="0563C1" w:themeColor="hyperlink"/>
                <w:sz w:val="20"/>
                <w:szCs w:val="20"/>
                <w:u w:val="single"/>
              </w:rPr>
            </w:pPr>
            <w:r w:rsidRPr="00D15B1C">
              <w:rPr>
                <w:rFonts w:cstheme="minorHAnsi"/>
                <w:i/>
                <w:color w:val="000000" w:themeColor="text1"/>
                <w:sz w:val="20"/>
                <w:szCs w:val="20"/>
              </w:rPr>
              <w:t>This page</w:t>
            </w:r>
            <w:r w:rsidR="00260AB5" w:rsidRPr="00D15B1C">
              <w:rPr>
                <w:rFonts w:cstheme="minorHAnsi"/>
                <w:i/>
                <w:color w:val="000000" w:themeColor="text1"/>
                <w:sz w:val="20"/>
                <w:szCs w:val="20"/>
              </w:rPr>
              <w:t xml:space="preserve"> </w:t>
            </w:r>
            <w:r w:rsidR="00B23909" w:rsidRPr="00D15B1C">
              <w:rPr>
                <w:rFonts w:cstheme="minorHAnsi"/>
                <w:i/>
                <w:color w:val="000000" w:themeColor="text1"/>
                <w:sz w:val="20"/>
                <w:szCs w:val="20"/>
              </w:rPr>
              <w:t>enables you to select</w:t>
            </w:r>
            <w:r w:rsidR="00260AB5" w:rsidRPr="00D15B1C">
              <w:rPr>
                <w:rFonts w:cstheme="minorHAnsi"/>
                <w:i/>
                <w:color w:val="000000" w:themeColor="text1"/>
                <w:sz w:val="20"/>
                <w:szCs w:val="20"/>
              </w:rPr>
              <w:t xml:space="preserve"> the PHR outcomes and </w:t>
            </w:r>
            <w:r w:rsidR="00984A2E" w:rsidRPr="00D15B1C">
              <w:rPr>
                <w:rFonts w:cstheme="minorHAnsi"/>
                <w:i/>
                <w:color w:val="000000" w:themeColor="text1"/>
                <w:sz w:val="20"/>
                <w:szCs w:val="20"/>
              </w:rPr>
              <w:t xml:space="preserve">aligned indicators, </w:t>
            </w:r>
            <w:r w:rsidR="00B23909" w:rsidRPr="00D15B1C">
              <w:rPr>
                <w:rFonts w:cstheme="minorHAnsi"/>
                <w:i/>
                <w:color w:val="000000" w:themeColor="text1"/>
                <w:sz w:val="20"/>
                <w:szCs w:val="20"/>
              </w:rPr>
              <w:t xml:space="preserve">and the DFAT </w:t>
            </w:r>
            <w:r w:rsidR="00984A2E" w:rsidRPr="00D15B1C">
              <w:rPr>
                <w:rFonts w:cstheme="minorHAnsi"/>
                <w:i/>
                <w:color w:val="000000" w:themeColor="text1"/>
                <w:sz w:val="20"/>
                <w:szCs w:val="20"/>
              </w:rPr>
              <w:t>Tier 2 indicators covered by your project</w:t>
            </w:r>
            <w:r w:rsidR="00E416F7" w:rsidRPr="00D15B1C">
              <w:rPr>
                <w:rFonts w:cstheme="minorHAnsi"/>
                <w:i/>
                <w:color w:val="000000" w:themeColor="text1"/>
                <w:sz w:val="20"/>
                <w:szCs w:val="20"/>
              </w:rPr>
              <w:t xml:space="preserve">. </w:t>
            </w:r>
            <w:r w:rsidR="005D331F" w:rsidRPr="00D15B1C">
              <w:rPr>
                <w:rFonts w:cstheme="minorHAnsi"/>
                <w:i/>
                <w:iCs/>
                <w:color w:val="000000" w:themeColor="text1"/>
                <w:sz w:val="20"/>
                <w:szCs w:val="20"/>
              </w:rPr>
              <w:t xml:space="preserve">The list of PHR outcomes and indicators is attached to this guidance document (Annex 1). </w:t>
            </w:r>
            <w:r w:rsidR="00E416F7" w:rsidRPr="00D15B1C">
              <w:rPr>
                <w:rFonts w:cstheme="minorHAnsi"/>
                <w:i/>
                <w:color w:val="000000" w:themeColor="text1"/>
                <w:sz w:val="20"/>
                <w:szCs w:val="20"/>
              </w:rPr>
              <w:t>D</w:t>
            </w:r>
            <w:r w:rsidR="008038A2" w:rsidRPr="00D15B1C">
              <w:rPr>
                <w:rFonts w:cstheme="minorHAnsi"/>
                <w:i/>
                <w:color w:val="000000" w:themeColor="text1"/>
                <w:sz w:val="20"/>
                <w:szCs w:val="20"/>
              </w:rPr>
              <w:t>etails on T</w:t>
            </w:r>
            <w:r w:rsidR="56424D02" w:rsidRPr="00D15B1C">
              <w:rPr>
                <w:rFonts w:cstheme="minorHAnsi"/>
                <w:i/>
                <w:color w:val="000000" w:themeColor="text1"/>
                <w:sz w:val="20"/>
                <w:szCs w:val="20"/>
              </w:rPr>
              <w:t>ier</w:t>
            </w:r>
            <w:r w:rsidR="008038A2" w:rsidRPr="00D15B1C">
              <w:rPr>
                <w:rFonts w:cstheme="minorHAnsi"/>
                <w:i/>
                <w:color w:val="000000" w:themeColor="text1"/>
                <w:sz w:val="20"/>
                <w:szCs w:val="20"/>
              </w:rPr>
              <w:t xml:space="preserve"> 2 indicators can be found here:</w:t>
            </w:r>
            <w:r w:rsidR="00E01DF1" w:rsidRPr="00D15B1C">
              <w:rPr>
                <w:rFonts w:cstheme="minorHAnsi"/>
                <w:sz w:val="20"/>
                <w:szCs w:val="20"/>
              </w:rPr>
              <w:t xml:space="preserve"> </w:t>
            </w:r>
            <w:hyperlink r:id="rId11">
              <w:r w:rsidR="00E01DF1" w:rsidRPr="00D15B1C">
                <w:rPr>
                  <w:rStyle w:val="Hyperlink"/>
                  <w:rFonts w:cstheme="minorHAnsi"/>
                  <w:sz w:val="20"/>
                  <w:szCs w:val="20"/>
                </w:rPr>
                <w:t>Australia’s Development Program - Tier 2 Results | Australian Government Department of Foreign Affairs and Trade</w:t>
              </w:r>
            </w:hyperlink>
            <w:r w:rsidR="00E01DF1" w:rsidRPr="00D15B1C">
              <w:rPr>
                <w:rStyle w:val="Hyperlink"/>
                <w:rFonts w:cstheme="minorHAnsi"/>
                <w:sz w:val="20"/>
                <w:szCs w:val="20"/>
              </w:rPr>
              <w:t>.</w:t>
            </w:r>
            <w:r w:rsidR="00984A2E" w:rsidRPr="00D15B1C">
              <w:rPr>
                <w:rFonts w:cstheme="minorHAnsi"/>
                <w:i/>
                <w:color w:val="000000" w:themeColor="text1"/>
                <w:sz w:val="20"/>
                <w:szCs w:val="20"/>
              </w:rPr>
              <w:t xml:space="preserve"> </w:t>
            </w:r>
          </w:p>
          <w:p w14:paraId="74AFD990" w14:textId="1820BA95" w:rsidR="00F159D3" w:rsidRPr="00C076BE" w:rsidRDefault="00911CE3" w:rsidP="007C45C9">
            <w:pPr>
              <w:spacing w:after="120" w:line="250" w:lineRule="auto"/>
              <w:rPr>
                <w:rFonts w:cstheme="minorHAnsi"/>
                <w:color w:val="000000" w:themeColor="text1"/>
                <w:sz w:val="20"/>
                <w:szCs w:val="20"/>
              </w:rPr>
            </w:pPr>
            <w:r w:rsidRPr="00C076BE">
              <w:rPr>
                <w:rFonts w:cstheme="minorHAnsi"/>
                <w:color w:val="000000" w:themeColor="text1"/>
                <w:sz w:val="20"/>
                <w:szCs w:val="20"/>
              </w:rPr>
              <w:t xml:space="preserve">If you have </w:t>
            </w:r>
            <w:r w:rsidRPr="00D15B1C">
              <w:rPr>
                <w:rFonts w:cstheme="minorHAnsi"/>
                <w:color w:val="000000" w:themeColor="text1"/>
                <w:sz w:val="20"/>
                <w:szCs w:val="20"/>
              </w:rPr>
              <w:t>question</w:t>
            </w:r>
            <w:r w:rsidR="00A97C32" w:rsidRPr="00D15B1C">
              <w:rPr>
                <w:rFonts w:cstheme="minorHAnsi"/>
                <w:color w:val="000000" w:themeColor="text1"/>
                <w:sz w:val="20"/>
                <w:szCs w:val="20"/>
              </w:rPr>
              <w:t>s</w:t>
            </w:r>
            <w:r w:rsidRPr="00C076BE">
              <w:rPr>
                <w:rFonts w:cstheme="minorHAnsi"/>
                <w:color w:val="000000" w:themeColor="text1"/>
                <w:sz w:val="20"/>
                <w:szCs w:val="20"/>
              </w:rPr>
              <w:t xml:space="preserve"> on which </w:t>
            </w:r>
            <w:r w:rsidR="007C45C9" w:rsidRPr="00C076BE">
              <w:rPr>
                <w:rFonts w:cstheme="minorHAnsi"/>
                <w:color w:val="000000" w:themeColor="text1"/>
                <w:sz w:val="20"/>
                <w:szCs w:val="20"/>
              </w:rPr>
              <w:t xml:space="preserve">indicators </w:t>
            </w:r>
            <w:r w:rsidRPr="00C076BE">
              <w:rPr>
                <w:rFonts w:cstheme="minorHAnsi"/>
                <w:color w:val="000000" w:themeColor="text1"/>
                <w:sz w:val="20"/>
                <w:szCs w:val="20"/>
              </w:rPr>
              <w:t>you</w:t>
            </w:r>
            <w:r w:rsidR="007C45C9" w:rsidRPr="00C076BE">
              <w:rPr>
                <w:rFonts w:cstheme="minorHAnsi"/>
                <w:color w:val="000000" w:themeColor="text1"/>
                <w:sz w:val="20"/>
                <w:szCs w:val="20"/>
              </w:rPr>
              <w:t>r project</w:t>
            </w:r>
            <w:r w:rsidRPr="00C076BE">
              <w:rPr>
                <w:rFonts w:cstheme="minorHAnsi"/>
                <w:color w:val="000000" w:themeColor="text1"/>
                <w:sz w:val="20"/>
                <w:szCs w:val="20"/>
              </w:rPr>
              <w:t xml:space="preserve"> can provide evidence/data towards, check with </w:t>
            </w:r>
            <w:r w:rsidR="00A24970" w:rsidRPr="00C076BE">
              <w:rPr>
                <w:rFonts w:cstheme="minorHAnsi"/>
                <w:color w:val="000000" w:themeColor="text1"/>
                <w:sz w:val="20"/>
                <w:szCs w:val="20"/>
              </w:rPr>
              <w:t xml:space="preserve">your Program </w:t>
            </w:r>
            <w:r w:rsidR="00A9645C" w:rsidRPr="00C076BE">
              <w:rPr>
                <w:rFonts w:cstheme="minorHAnsi"/>
                <w:color w:val="000000" w:themeColor="text1"/>
                <w:sz w:val="20"/>
                <w:szCs w:val="20"/>
              </w:rPr>
              <w:t>M</w:t>
            </w:r>
            <w:r w:rsidR="00A24970" w:rsidRPr="00C076BE">
              <w:rPr>
                <w:rFonts w:cstheme="minorHAnsi"/>
                <w:color w:val="000000" w:themeColor="text1"/>
                <w:sz w:val="20"/>
                <w:szCs w:val="20"/>
              </w:rPr>
              <w:t>anager</w:t>
            </w:r>
            <w:r w:rsidR="001657BF" w:rsidRPr="00C076BE">
              <w:rPr>
                <w:rFonts w:cstheme="minorHAnsi"/>
                <w:color w:val="000000" w:themeColor="text1"/>
                <w:sz w:val="20"/>
                <w:szCs w:val="20"/>
              </w:rPr>
              <w:t>.</w:t>
            </w:r>
          </w:p>
          <w:p w14:paraId="4EDB0EB0" w14:textId="4CB805E3" w:rsidR="005E1F82" w:rsidRPr="007C45C9" w:rsidRDefault="005E1F82" w:rsidP="007C45C9">
            <w:pPr>
              <w:spacing w:after="120" w:line="250" w:lineRule="auto"/>
              <w:rPr>
                <w:rFonts w:cstheme="minorHAnsi"/>
                <w:color w:val="000000" w:themeColor="text1"/>
                <w:sz w:val="20"/>
                <w:szCs w:val="20"/>
              </w:rPr>
            </w:pPr>
            <w:r w:rsidRPr="007C45C9">
              <w:rPr>
                <w:rFonts w:cstheme="minorHAnsi"/>
                <w:color w:val="000000" w:themeColor="text1"/>
                <w:sz w:val="20"/>
                <w:szCs w:val="20"/>
              </w:rPr>
              <w:t xml:space="preserve">Please note that the </w:t>
            </w:r>
            <w:r w:rsidR="007731AD">
              <w:rPr>
                <w:rFonts w:cstheme="minorHAnsi"/>
                <w:color w:val="000000" w:themeColor="text1"/>
                <w:sz w:val="20"/>
                <w:szCs w:val="20"/>
              </w:rPr>
              <w:t xml:space="preserve">indicators selected in this form will pre-populate in the </w:t>
            </w:r>
            <w:r w:rsidR="005D42B8" w:rsidRPr="00D15B1C">
              <w:rPr>
                <w:rFonts w:cstheme="minorHAnsi"/>
                <w:color w:val="000000" w:themeColor="text1"/>
                <w:sz w:val="20"/>
                <w:szCs w:val="20"/>
              </w:rPr>
              <w:t xml:space="preserve">Annual </w:t>
            </w:r>
            <w:r w:rsidR="007731AD">
              <w:rPr>
                <w:rFonts w:cstheme="minorHAnsi"/>
                <w:color w:val="000000" w:themeColor="text1"/>
                <w:sz w:val="20"/>
                <w:szCs w:val="20"/>
              </w:rPr>
              <w:t>Partner Update Form</w:t>
            </w:r>
            <w:r w:rsidR="006A7653" w:rsidRPr="00D15B1C">
              <w:rPr>
                <w:rFonts w:cstheme="minorHAnsi"/>
                <w:color w:val="000000" w:themeColor="text1"/>
                <w:sz w:val="20"/>
                <w:szCs w:val="20"/>
              </w:rPr>
              <w:t>,</w:t>
            </w:r>
            <w:r w:rsidR="009066EC">
              <w:rPr>
                <w:rFonts w:cstheme="minorHAnsi"/>
                <w:color w:val="000000" w:themeColor="text1"/>
                <w:sz w:val="20"/>
                <w:szCs w:val="20"/>
              </w:rPr>
              <w:t xml:space="preserve"> where you will be asked </w:t>
            </w:r>
            <w:r w:rsidR="007731AD">
              <w:rPr>
                <w:rFonts w:cstheme="minorHAnsi"/>
                <w:color w:val="000000" w:themeColor="text1"/>
                <w:sz w:val="20"/>
                <w:szCs w:val="20"/>
              </w:rPr>
              <w:t xml:space="preserve">to </w:t>
            </w:r>
            <w:r w:rsidR="00701ABF" w:rsidRPr="00D15B1C">
              <w:rPr>
                <w:rFonts w:cstheme="minorHAnsi"/>
                <w:color w:val="000000" w:themeColor="text1"/>
                <w:sz w:val="20"/>
                <w:szCs w:val="20"/>
              </w:rPr>
              <w:t>report</w:t>
            </w:r>
            <w:r w:rsidR="00F50242">
              <w:rPr>
                <w:rFonts w:cstheme="minorHAnsi"/>
                <w:color w:val="000000" w:themeColor="text1"/>
                <w:sz w:val="20"/>
                <w:szCs w:val="20"/>
              </w:rPr>
              <w:t xml:space="preserve"> against the </w:t>
            </w:r>
            <w:r w:rsidR="009066EC">
              <w:rPr>
                <w:rFonts w:cstheme="minorHAnsi"/>
                <w:color w:val="000000" w:themeColor="text1"/>
                <w:sz w:val="20"/>
                <w:szCs w:val="20"/>
              </w:rPr>
              <w:t xml:space="preserve">relevant </w:t>
            </w:r>
            <w:r w:rsidR="00F50242">
              <w:rPr>
                <w:rFonts w:cstheme="minorHAnsi"/>
                <w:color w:val="000000" w:themeColor="text1"/>
                <w:sz w:val="20"/>
                <w:szCs w:val="20"/>
              </w:rPr>
              <w:t>indicator</w:t>
            </w:r>
            <w:r w:rsidRPr="007C45C9">
              <w:rPr>
                <w:rFonts w:cstheme="minorHAnsi"/>
                <w:color w:val="000000" w:themeColor="text1"/>
                <w:sz w:val="20"/>
                <w:szCs w:val="20"/>
              </w:rPr>
              <w:t>. If indicators are revised or changed during the lifecycle of the project, the change will need to be updated in this form.</w:t>
            </w:r>
          </w:p>
          <w:p w14:paraId="2C33FC4A" w14:textId="1B65AB16" w:rsidR="000A7A62" w:rsidRPr="007C45C9" w:rsidRDefault="329587EF" w:rsidP="00C30252">
            <w:pPr>
              <w:spacing w:line="250" w:lineRule="auto"/>
              <w:rPr>
                <w:rFonts w:cstheme="minorHAnsi"/>
                <w:color w:val="000000" w:themeColor="text1"/>
                <w:sz w:val="20"/>
                <w:szCs w:val="20"/>
              </w:rPr>
            </w:pPr>
            <w:r w:rsidRPr="007C45C9">
              <w:rPr>
                <w:rFonts w:cstheme="minorHAnsi"/>
                <w:color w:val="000000" w:themeColor="text1"/>
                <w:sz w:val="20"/>
                <w:szCs w:val="20"/>
              </w:rPr>
              <w:t xml:space="preserve">The PHR common indicator </w:t>
            </w:r>
            <w:r w:rsidR="29419E67" w:rsidRPr="007C45C9">
              <w:rPr>
                <w:rFonts w:cstheme="minorHAnsi"/>
                <w:color w:val="000000" w:themeColor="text1"/>
                <w:sz w:val="20"/>
                <w:szCs w:val="20"/>
              </w:rPr>
              <w:t>select</w:t>
            </w:r>
            <w:r w:rsidRPr="007C45C9">
              <w:rPr>
                <w:rFonts w:cstheme="minorHAnsi"/>
                <w:color w:val="000000" w:themeColor="text1"/>
                <w:sz w:val="20"/>
                <w:szCs w:val="20"/>
              </w:rPr>
              <w:t xml:space="preserve">ion </w:t>
            </w:r>
            <w:r w:rsidR="27BCD841" w:rsidRPr="007C45C9">
              <w:rPr>
                <w:rFonts w:cstheme="minorHAnsi"/>
                <w:color w:val="000000" w:themeColor="text1"/>
                <w:sz w:val="20"/>
                <w:szCs w:val="20"/>
              </w:rPr>
              <w:t>process</w:t>
            </w:r>
            <w:r w:rsidRPr="007C45C9">
              <w:rPr>
                <w:rFonts w:cstheme="minorHAnsi"/>
                <w:color w:val="000000" w:themeColor="text1"/>
                <w:sz w:val="20"/>
                <w:szCs w:val="20"/>
              </w:rPr>
              <w:t xml:space="preserve"> is </w:t>
            </w:r>
            <w:r w:rsidR="36E0FAD9" w:rsidRPr="007C45C9">
              <w:rPr>
                <w:rFonts w:cstheme="minorHAnsi"/>
                <w:color w:val="000000" w:themeColor="text1"/>
                <w:sz w:val="20"/>
                <w:szCs w:val="20"/>
              </w:rPr>
              <w:t>undertaken</w:t>
            </w:r>
            <w:r w:rsidRPr="007C45C9">
              <w:rPr>
                <w:rFonts w:cstheme="minorHAnsi"/>
                <w:color w:val="000000" w:themeColor="text1"/>
                <w:sz w:val="20"/>
                <w:szCs w:val="20"/>
              </w:rPr>
              <w:t xml:space="preserve"> through </w:t>
            </w:r>
            <w:r w:rsidR="00F77E58" w:rsidRPr="007C45C9">
              <w:rPr>
                <w:rFonts w:cstheme="minorHAnsi"/>
                <w:color w:val="000000" w:themeColor="text1"/>
                <w:sz w:val="20"/>
                <w:szCs w:val="20"/>
              </w:rPr>
              <w:t xml:space="preserve">six </w:t>
            </w:r>
            <w:r w:rsidRPr="007C45C9">
              <w:rPr>
                <w:rFonts w:cstheme="minorHAnsi"/>
                <w:color w:val="000000" w:themeColor="text1"/>
                <w:sz w:val="20"/>
                <w:szCs w:val="20"/>
              </w:rPr>
              <w:t>different sections for each of the PHR indicator groups:</w:t>
            </w:r>
          </w:p>
          <w:p w14:paraId="7A082141" w14:textId="14E2D485" w:rsidR="00D346D1" w:rsidRPr="007C45C9" w:rsidRDefault="00D346D1" w:rsidP="007C45C9">
            <w:pPr>
              <w:pStyle w:val="ListParagraph"/>
              <w:numPr>
                <w:ilvl w:val="0"/>
                <w:numId w:val="4"/>
              </w:numPr>
              <w:spacing w:after="120" w:line="250" w:lineRule="auto"/>
              <w:rPr>
                <w:rFonts w:cstheme="minorHAnsi"/>
                <w:color w:val="000000" w:themeColor="text1"/>
                <w:sz w:val="20"/>
                <w:szCs w:val="20"/>
              </w:rPr>
            </w:pPr>
            <w:r w:rsidRPr="007C45C9">
              <w:rPr>
                <w:rFonts w:cstheme="minorHAnsi"/>
                <w:color w:val="000000" w:themeColor="text1"/>
                <w:sz w:val="20"/>
                <w:szCs w:val="20"/>
              </w:rPr>
              <w:t>Cross</w:t>
            </w:r>
            <w:r w:rsidR="00387838">
              <w:rPr>
                <w:rFonts w:cstheme="minorHAnsi"/>
                <w:color w:val="000000" w:themeColor="text1"/>
                <w:sz w:val="20"/>
                <w:szCs w:val="20"/>
              </w:rPr>
              <w:t>-</w:t>
            </w:r>
            <w:r w:rsidRPr="007C45C9">
              <w:rPr>
                <w:rFonts w:cstheme="minorHAnsi"/>
                <w:color w:val="000000" w:themeColor="text1"/>
                <w:sz w:val="20"/>
                <w:szCs w:val="20"/>
              </w:rPr>
              <w:t>cutting priority indicators</w:t>
            </w:r>
          </w:p>
          <w:p w14:paraId="24F0BDBD" w14:textId="7C922425" w:rsidR="00D346D1" w:rsidRPr="007C45C9" w:rsidRDefault="00D346D1" w:rsidP="007C45C9">
            <w:pPr>
              <w:pStyle w:val="ListParagraph"/>
              <w:numPr>
                <w:ilvl w:val="0"/>
                <w:numId w:val="4"/>
              </w:numPr>
              <w:spacing w:after="120" w:line="250" w:lineRule="auto"/>
              <w:rPr>
                <w:rFonts w:cstheme="minorHAnsi"/>
                <w:color w:val="000000" w:themeColor="text1"/>
                <w:sz w:val="20"/>
                <w:szCs w:val="20"/>
              </w:rPr>
            </w:pPr>
            <w:r w:rsidRPr="007C45C9">
              <w:rPr>
                <w:rFonts w:cstheme="minorHAnsi"/>
                <w:color w:val="000000" w:themeColor="text1"/>
                <w:sz w:val="20"/>
                <w:szCs w:val="20"/>
              </w:rPr>
              <w:t>Communicable disease control indicators (EOPO1)</w:t>
            </w:r>
          </w:p>
          <w:p w14:paraId="42ABD0B4" w14:textId="0D819AA0" w:rsidR="00D346D1" w:rsidRPr="007C45C9" w:rsidRDefault="00D346D1" w:rsidP="007C45C9">
            <w:pPr>
              <w:pStyle w:val="ListParagraph"/>
              <w:numPr>
                <w:ilvl w:val="0"/>
                <w:numId w:val="4"/>
              </w:numPr>
              <w:spacing w:after="120" w:line="250" w:lineRule="auto"/>
              <w:rPr>
                <w:rFonts w:cstheme="minorHAnsi"/>
                <w:color w:val="000000" w:themeColor="text1"/>
                <w:sz w:val="20"/>
                <w:szCs w:val="20"/>
              </w:rPr>
            </w:pPr>
            <w:r w:rsidRPr="007C45C9">
              <w:rPr>
                <w:rFonts w:cstheme="minorHAnsi"/>
                <w:color w:val="000000" w:themeColor="text1"/>
                <w:sz w:val="20"/>
                <w:szCs w:val="20"/>
              </w:rPr>
              <w:t>Non-communicable disease control indicators (EOPO2)</w:t>
            </w:r>
          </w:p>
          <w:p w14:paraId="54726973" w14:textId="7EC9AD37" w:rsidR="00D346D1" w:rsidRPr="00D15B1C" w:rsidRDefault="00D346D1" w:rsidP="08E434CB">
            <w:pPr>
              <w:pStyle w:val="ListParagraph"/>
              <w:numPr>
                <w:ilvl w:val="0"/>
                <w:numId w:val="4"/>
              </w:numPr>
              <w:spacing w:after="120" w:line="250" w:lineRule="auto"/>
              <w:rPr>
                <w:rFonts w:cstheme="minorHAnsi"/>
                <w:color w:val="000000" w:themeColor="text1"/>
                <w:sz w:val="20"/>
                <w:szCs w:val="20"/>
              </w:rPr>
            </w:pPr>
            <w:r w:rsidRPr="00D15B1C">
              <w:rPr>
                <w:rFonts w:cstheme="minorHAnsi"/>
                <w:color w:val="000000" w:themeColor="text1"/>
                <w:sz w:val="20"/>
                <w:szCs w:val="20"/>
              </w:rPr>
              <w:lastRenderedPageBreak/>
              <w:t>Sexual and Reproductive Health</w:t>
            </w:r>
            <w:r w:rsidR="73D02733" w:rsidRPr="00D15B1C">
              <w:rPr>
                <w:rFonts w:cstheme="minorHAnsi"/>
                <w:color w:val="000000" w:themeColor="text1"/>
                <w:sz w:val="20"/>
                <w:szCs w:val="20"/>
              </w:rPr>
              <w:t xml:space="preserve"> and</w:t>
            </w:r>
            <w:r w:rsidRPr="00D15B1C">
              <w:rPr>
                <w:rFonts w:cstheme="minorHAnsi"/>
                <w:color w:val="000000" w:themeColor="text1"/>
                <w:sz w:val="20"/>
                <w:szCs w:val="20"/>
              </w:rPr>
              <w:t xml:space="preserve"> Rights indicators (EOPO3)</w:t>
            </w:r>
          </w:p>
          <w:p w14:paraId="4444355F" w14:textId="1C969567" w:rsidR="00D346D1" w:rsidRPr="00D15B1C" w:rsidRDefault="00D346D1" w:rsidP="08E434CB">
            <w:pPr>
              <w:pStyle w:val="ListParagraph"/>
              <w:numPr>
                <w:ilvl w:val="0"/>
                <w:numId w:val="4"/>
              </w:numPr>
              <w:spacing w:after="120" w:line="250" w:lineRule="auto"/>
              <w:rPr>
                <w:rFonts w:cstheme="minorHAnsi"/>
                <w:color w:val="000000" w:themeColor="text1"/>
                <w:sz w:val="20"/>
                <w:szCs w:val="20"/>
              </w:rPr>
            </w:pPr>
            <w:r w:rsidRPr="00D15B1C">
              <w:rPr>
                <w:rFonts w:cstheme="minorHAnsi"/>
                <w:color w:val="000000" w:themeColor="text1"/>
                <w:sz w:val="20"/>
                <w:szCs w:val="20"/>
              </w:rPr>
              <w:t>Resilient Health Systems</w:t>
            </w:r>
            <w:r w:rsidR="789710CA" w:rsidRPr="00D15B1C">
              <w:rPr>
                <w:rFonts w:cstheme="minorHAnsi"/>
                <w:color w:val="000000" w:themeColor="text1"/>
                <w:sz w:val="20"/>
                <w:szCs w:val="20"/>
              </w:rPr>
              <w:t xml:space="preserve"> indicators</w:t>
            </w:r>
            <w:r w:rsidRPr="00D15B1C">
              <w:rPr>
                <w:rFonts w:cstheme="minorHAnsi"/>
                <w:color w:val="000000" w:themeColor="text1"/>
                <w:sz w:val="20"/>
                <w:szCs w:val="20"/>
              </w:rPr>
              <w:t xml:space="preserve"> (EOPO4)</w:t>
            </w:r>
          </w:p>
          <w:p w14:paraId="3777D62B" w14:textId="66503EBD" w:rsidR="00F77E58" w:rsidRPr="007C45C9" w:rsidRDefault="00F24065" w:rsidP="007C45C9">
            <w:pPr>
              <w:pStyle w:val="ListParagraph"/>
              <w:numPr>
                <w:ilvl w:val="0"/>
                <w:numId w:val="4"/>
              </w:numPr>
              <w:spacing w:after="120" w:line="250" w:lineRule="auto"/>
              <w:rPr>
                <w:rFonts w:cstheme="minorHAnsi"/>
                <w:color w:val="000000" w:themeColor="text1"/>
                <w:sz w:val="20"/>
                <w:szCs w:val="20"/>
              </w:rPr>
            </w:pPr>
            <w:r>
              <w:rPr>
                <w:rFonts w:cstheme="minorHAnsi"/>
                <w:color w:val="000000" w:themeColor="text1"/>
                <w:sz w:val="20"/>
                <w:szCs w:val="20"/>
              </w:rPr>
              <w:t xml:space="preserve">DFAT </w:t>
            </w:r>
            <w:r w:rsidR="00D346D1" w:rsidRPr="007C45C9">
              <w:rPr>
                <w:rFonts w:cstheme="minorHAnsi"/>
                <w:color w:val="000000" w:themeColor="text1"/>
                <w:sz w:val="20"/>
                <w:szCs w:val="20"/>
              </w:rPr>
              <w:t>Tier 2 indicators: Improved Governance, Gender Equality, Disability Equity, Strengthening Leadership, Strengthening Regional Architecture and Environment and Biodiversity</w:t>
            </w:r>
          </w:p>
          <w:p w14:paraId="1E24D7E1" w14:textId="2668B54A" w:rsidR="00F77E58" w:rsidRPr="007C45C9" w:rsidRDefault="00F77E58" w:rsidP="007C45C9">
            <w:pPr>
              <w:spacing w:after="120" w:line="250" w:lineRule="auto"/>
              <w:rPr>
                <w:rFonts w:cstheme="minorHAnsi"/>
                <w:color w:val="000000" w:themeColor="text1"/>
                <w:sz w:val="20"/>
                <w:szCs w:val="20"/>
              </w:rPr>
            </w:pPr>
            <w:r w:rsidRPr="007C45C9">
              <w:rPr>
                <w:rFonts w:cstheme="minorHAnsi"/>
                <w:color w:val="000000" w:themeColor="text1"/>
                <w:sz w:val="20"/>
                <w:szCs w:val="20"/>
              </w:rPr>
              <w:t>We have provided guidance on each section below.</w:t>
            </w:r>
          </w:p>
        </w:tc>
      </w:tr>
      <w:tr w:rsidR="00DD3366" w14:paraId="7FB4B84D" w14:textId="77777777" w:rsidTr="0E2DE7DC">
        <w:tc>
          <w:tcPr>
            <w:tcW w:w="1696" w:type="dxa"/>
          </w:tcPr>
          <w:p w14:paraId="29032580" w14:textId="01C62F3D" w:rsidR="00367DFF" w:rsidRPr="007C45C9" w:rsidRDefault="00FF16F8" w:rsidP="007C45C9">
            <w:pPr>
              <w:spacing w:after="120" w:line="250" w:lineRule="auto"/>
              <w:rPr>
                <w:rFonts w:cstheme="minorHAnsi"/>
                <w:b/>
                <w:bCs/>
                <w:color w:val="000000" w:themeColor="text1"/>
                <w:sz w:val="20"/>
                <w:szCs w:val="20"/>
              </w:rPr>
            </w:pPr>
            <w:r>
              <w:rPr>
                <w:rFonts w:cstheme="minorHAnsi"/>
                <w:b/>
                <w:bCs/>
                <w:color w:val="000000" w:themeColor="text1"/>
                <w:sz w:val="20"/>
                <w:szCs w:val="20"/>
              </w:rPr>
              <w:lastRenderedPageBreak/>
              <w:t>C</w:t>
            </w:r>
            <w:r w:rsidR="00201ED7" w:rsidRPr="007C45C9">
              <w:rPr>
                <w:rFonts w:cstheme="minorHAnsi"/>
                <w:b/>
                <w:bCs/>
                <w:color w:val="000000" w:themeColor="text1"/>
                <w:sz w:val="20"/>
                <w:szCs w:val="20"/>
              </w:rPr>
              <w:t>ross</w:t>
            </w:r>
            <w:r w:rsidR="00F26F5D" w:rsidRPr="00D15B1C">
              <w:rPr>
                <w:rFonts w:cstheme="minorHAnsi"/>
                <w:b/>
                <w:bCs/>
                <w:color w:val="000000" w:themeColor="text1"/>
                <w:sz w:val="20"/>
                <w:szCs w:val="20"/>
              </w:rPr>
              <w:t>-</w:t>
            </w:r>
            <w:r w:rsidR="00201ED7" w:rsidRPr="007C45C9">
              <w:rPr>
                <w:rFonts w:cstheme="minorHAnsi"/>
                <w:b/>
                <w:bCs/>
                <w:color w:val="000000" w:themeColor="text1"/>
                <w:sz w:val="20"/>
                <w:szCs w:val="20"/>
              </w:rPr>
              <w:t>cutting priority indicators</w:t>
            </w:r>
          </w:p>
          <w:p w14:paraId="725525C4" w14:textId="354BAD49" w:rsidR="00DD3366" w:rsidRPr="007C45C9" w:rsidRDefault="00DD3366" w:rsidP="007C45C9">
            <w:pPr>
              <w:spacing w:after="120" w:line="250" w:lineRule="auto"/>
              <w:rPr>
                <w:rFonts w:cstheme="minorHAnsi"/>
                <w:b/>
                <w:bCs/>
                <w:color w:val="000000" w:themeColor="text1"/>
                <w:sz w:val="20"/>
                <w:szCs w:val="20"/>
              </w:rPr>
            </w:pPr>
          </w:p>
        </w:tc>
        <w:tc>
          <w:tcPr>
            <w:tcW w:w="7797" w:type="dxa"/>
          </w:tcPr>
          <w:p w14:paraId="05447A93" w14:textId="74044A44" w:rsidR="007C45C9" w:rsidRDefault="00201ED7" w:rsidP="00E416F7">
            <w:pPr>
              <w:spacing w:after="80" w:line="247" w:lineRule="auto"/>
              <w:rPr>
                <w:rFonts w:cstheme="minorHAnsi"/>
                <w:color w:val="000000" w:themeColor="text1"/>
                <w:sz w:val="20"/>
                <w:szCs w:val="20"/>
              </w:rPr>
            </w:pPr>
            <w:r w:rsidRPr="007C45C9">
              <w:rPr>
                <w:rFonts w:cstheme="minorHAnsi"/>
                <w:color w:val="000000" w:themeColor="text1"/>
                <w:sz w:val="20"/>
                <w:szCs w:val="20"/>
                <w:u w:val="single"/>
              </w:rPr>
              <w:t>Section 1</w:t>
            </w:r>
          </w:p>
          <w:p w14:paraId="7A8A4753" w14:textId="60A411FD" w:rsidR="00367DFF" w:rsidRPr="007C45C9" w:rsidRDefault="00FF16F8" w:rsidP="00E416F7">
            <w:pPr>
              <w:spacing w:after="80" w:line="247" w:lineRule="auto"/>
              <w:rPr>
                <w:rFonts w:cstheme="minorHAnsi"/>
                <w:color w:val="000000" w:themeColor="text1"/>
                <w:sz w:val="20"/>
                <w:szCs w:val="20"/>
                <w:u w:val="single"/>
              </w:rPr>
            </w:pPr>
            <w:r>
              <w:rPr>
                <w:rFonts w:cstheme="minorHAnsi"/>
                <w:color w:val="000000" w:themeColor="text1"/>
                <w:sz w:val="20"/>
                <w:szCs w:val="20"/>
              </w:rPr>
              <w:t>This section c</w:t>
            </w:r>
            <w:r w:rsidR="007C45C9">
              <w:rPr>
                <w:rFonts w:cstheme="minorHAnsi"/>
                <w:color w:val="000000" w:themeColor="text1"/>
                <w:sz w:val="20"/>
                <w:szCs w:val="20"/>
              </w:rPr>
              <w:t xml:space="preserve">overs </w:t>
            </w:r>
            <w:r>
              <w:rPr>
                <w:rFonts w:cstheme="minorHAnsi"/>
                <w:color w:val="000000" w:themeColor="text1"/>
                <w:sz w:val="20"/>
                <w:szCs w:val="20"/>
              </w:rPr>
              <w:t>c</w:t>
            </w:r>
            <w:r w:rsidR="007C45C9" w:rsidRPr="007C45C9">
              <w:rPr>
                <w:rFonts w:cstheme="minorHAnsi"/>
                <w:color w:val="000000" w:themeColor="text1"/>
                <w:sz w:val="20"/>
                <w:szCs w:val="20"/>
              </w:rPr>
              <w:t xml:space="preserve">limate change, </w:t>
            </w:r>
            <w:r w:rsidR="001E479A">
              <w:rPr>
                <w:rFonts w:cstheme="minorHAnsi"/>
                <w:color w:val="000000" w:themeColor="text1"/>
                <w:sz w:val="20"/>
                <w:szCs w:val="20"/>
              </w:rPr>
              <w:t>g</w:t>
            </w:r>
            <w:r w:rsidR="007C45C9" w:rsidRPr="007C45C9">
              <w:rPr>
                <w:rFonts w:cstheme="minorHAnsi"/>
                <w:color w:val="000000" w:themeColor="text1"/>
                <w:sz w:val="20"/>
                <w:szCs w:val="20"/>
              </w:rPr>
              <w:t xml:space="preserve">ender </w:t>
            </w:r>
            <w:r w:rsidR="001E479A">
              <w:rPr>
                <w:rFonts w:cstheme="minorHAnsi"/>
                <w:color w:val="000000" w:themeColor="text1"/>
                <w:sz w:val="20"/>
                <w:szCs w:val="20"/>
              </w:rPr>
              <w:t>e</w:t>
            </w:r>
            <w:r w:rsidR="007C45C9" w:rsidRPr="007C45C9">
              <w:rPr>
                <w:rFonts w:cstheme="minorHAnsi"/>
                <w:color w:val="000000" w:themeColor="text1"/>
                <w:sz w:val="20"/>
                <w:szCs w:val="20"/>
              </w:rPr>
              <w:t>quality, disability equity and social inclusion (GEDSI), First Nations</w:t>
            </w:r>
            <w:r>
              <w:rPr>
                <w:rFonts w:cstheme="minorHAnsi"/>
                <w:color w:val="000000" w:themeColor="text1"/>
                <w:sz w:val="20"/>
                <w:szCs w:val="20"/>
              </w:rPr>
              <w:t xml:space="preserve">, and </w:t>
            </w:r>
            <w:r w:rsidR="007C45C9" w:rsidRPr="007C45C9">
              <w:rPr>
                <w:rFonts w:cstheme="minorHAnsi"/>
                <w:color w:val="000000" w:themeColor="text1"/>
                <w:sz w:val="20"/>
                <w:szCs w:val="20"/>
              </w:rPr>
              <w:t>community engagement and locally led development.</w:t>
            </w:r>
          </w:p>
          <w:p w14:paraId="1E87C461" w14:textId="09F86183" w:rsidR="00FD63EE" w:rsidRPr="007C45C9" w:rsidRDefault="00F77E58" w:rsidP="00E416F7">
            <w:pPr>
              <w:spacing w:after="80" w:line="247" w:lineRule="auto"/>
              <w:rPr>
                <w:rFonts w:cstheme="minorHAnsi"/>
                <w:color w:val="000000" w:themeColor="text1"/>
                <w:sz w:val="20"/>
                <w:szCs w:val="20"/>
                <w:u w:val="single"/>
              </w:rPr>
            </w:pPr>
            <w:r w:rsidRPr="00D621C1">
              <w:rPr>
                <w:rFonts w:cstheme="minorHAnsi"/>
                <w:color w:val="000000" w:themeColor="text1"/>
                <w:sz w:val="20"/>
                <w:szCs w:val="20"/>
              </w:rPr>
              <w:t xml:space="preserve">Using </w:t>
            </w:r>
            <w:r w:rsidR="00F372B4" w:rsidRPr="00D621C1">
              <w:rPr>
                <w:rFonts w:cstheme="minorHAnsi"/>
                <w:color w:val="000000" w:themeColor="text1"/>
                <w:sz w:val="20"/>
                <w:szCs w:val="20"/>
              </w:rPr>
              <w:t>the</w:t>
            </w:r>
            <w:r w:rsidRPr="00D621C1">
              <w:rPr>
                <w:rFonts w:cstheme="minorHAnsi"/>
                <w:color w:val="000000" w:themeColor="text1"/>
                <w:sz w:val="20"/>
                <w:szCs w:val="20"/>
              </w:rPr>
              <w:t xml:space="preserve"> dropdown menu</w:t>
            </w:r>
            <w:r w:rsidRPr="00C16D3E">
              <w:rPr>
                <w:rFonts w:cstheme="minorHAnsi"/>
                <w:color w:val="000000" w:themeColor="text1"/>
                <w:sz w:val="20"/>
                <w:szCs w:val="20"/>
              </w:rPr>
              <w:t xml:space="preserve"> –</w:t>
            </w:r>
            <w:r w:rsidRPr="007C45C9">
              <w:rPr>
                <w:rFonts w:cstheme="minorHAnsi"/>
                <w:color w:val="000000" w:themeColor="text1"/>
                <w:sz w:val="20"/>
                <w:szCs w:val="20"/>
              </w:rPr>
              <w:t xml:space="preserve"> select the </w:t>
            </w:r>
            <w:r w:rsidR="00CD142A" w:rsidRPr="007C45C9">
              <w:rPr>
                <w:rFonts w:cstheme="minorHAnsi"/>
                <w:color w:val="000000" w:themeColor="text1"/>
                <w:sz w:val="20"/>
                <w:szCs w:val="20"/>
              </w:rPr>
              <w:t>PHR cross</w:t>
            </w:r>
            <w:r w:rsidR="00C47D45">
              <w:rPr>
                <w:rFonts w:cstheme="minorHAnsi"/>
                <w:color w:val="000000" w:themeColor="text1"/>
                <w:sz w:val="20"/>
                <w:szCs w:val="20"/>
              </w:rPr>
              <w:t>-</w:t>
            </w:r>
            <w:r w:rsidR="00CD142A" w:rsidRPr="007C45C9">
              <w:rPr>
                <w:rFonts w:cstheme="minorHAnsi"/>
                <w:color w:val="000000" w:themeColor="text1"/>
                <w:sz w:val="20"/>
                <w:szCs w:val="20"/>
              </w:rPr>
              <w:t>cutting priority</w:t>
            </w:r>
            <w:r w:rsidRPr="007C45C9">
              <w:rPr>
                <w:rFonts w:cstheme="minorHAnsi"/>
                <w:color w:val="000000" w:themeColor="text1"/>
                <w:sz w:val="20"/>
                <w:szCs w:val="20"/>
              </w:rPr>
              <w:t xml:space="preserve"> outcome relevant to your project, </w:t>
            </w:r>
            <w:r w:rsidR="00C16D3E">
              <w:rPr>
                <w:rFonts w:cstheme="minorHAnsi"/>
                <w:color w:val="000000" w:themeColor="text1"/>
                <w:sz w:val="20"/>
                <w:szCs w:val="20"/>
              </w:rPr>
              <w:t xml:space="preserve"> </w:t>
            </w:r>
            <w:r w:rsidRPr="007C45C9">
              <w:rPr>
                <w:rFonts w:cstheme="minorHAnsi"/>
                <w:color w:val="000000" w:themeColor="text1"/>
                <w:sz w:val="20"/>
                <w:szCs w:val="20"/>
              </w:rPr>
              <w:t xml:space="preserve">and then </w:t>
            </w:r>
            <w:r w:rsidR="004B30D3" w:rsidRPr="007C45C9">
              <w:rPr>
                <w:rFonts w:cstheme="minorHAnsi"/>
                <w:color w:val="000000" w:themeColor="text1"/>
                <w:sz w:val="20"/>
                <w:szCs w:val="20"/>
              </w:rPr>
              <w:t>add</w:t>
            </w:r>
            <w:r w:rsidRPr="00D15B1C">
              <w:rPr>
                <w:rFonts w:cstheme="minorHAnsi"/>
                <w:color w:val="000000" w:themeColor="text1"/>
                <w:sz w:val="20"/>
                <w:szCs w:val="20"/>
              </w:rPr>
              <w:t xml:space="preserve"> the</w:t>
            </w:r>
            <w:r w:rsidR="00CD142A" w:rsidRPr="00D15B1C">
              <w:rPr>
                <w:rFonts w:cstheme="minorHAnsi"/>
                <w:color w:val="000000" w:themeColor="text1"/>
                <w:sz w:val="20"/>
                <w:szCs w:val="20"/>
              </w:rPr>
              <w:t xml:space="preserve"> indicators </w:t>
            </w:r>
            <w:r w:rsidR="008764CC" w:rsidRPr="00D15B1C">
              <w:rPr>
                <w:rFonts w:cstheme="minorHAnsi"/>
                <w:color w:val="000000" w:themeColor="text1"/>
                <w:sz w:val="20"/>
                <w:szCs w:val="20"/>
              </w:rPr>
              <w:t xml:space="preserve">that </w:t>
            </w:r>
            <w:r w:rsidR="008764CC" w:rsidRPr="00C16D3E">
              <w:rPr>
                <w:rFonts w:cstheme="minorHAnsi"/>
                <w:color w:val="000000" w:themeColor="text1"/>
                <w:sz w:val="20"/>
                <w:szCs w:val="20"/>
              </w:rPr>
              <w:t xml:space="preserve">are </w:t>
            </w:r>
            <w:r w:rsidR="008764CC" w:rsidRPr="00D621C1">
              <w:rPr>
                <w:rFonts w:cstheme="minorHAnsi"/>
                <w:color w:val="000000" w:themeColor="text1"/>
                <w:sz w:val="20"/>
                <w:szCs w:val="20"/>
              </w:rPr>
              <w:t>relevant to your project</w:t>
            </w:r>
            <w:r w:rsidRPr="00D621C1">
              <w:rPr>
                <w:rFonts w:cstheme="minorHAnsi"/>
                <w:color w:val="000000" w:themeColor="text1"/>
                <w:sz w:val="20"/>
                <w:szCs w:val="20"/>
              </w:rPr>
              <w:t>.</w:t>
            </w:r>
          </w:p>
          <w:p w14:paraId="4796CFF5" w14:textId="4E00A45D" w:rsidR="00F77E58" w:rsidRPr="007C45C9" w:rsidRDefault="00FD63EE"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 xml:space="preserve">You can only add / select one indicator at a time. Please use the </w:t>
            </w:r>
            <w:r w:rsidR="00EB4921" w:rsidRPr="00D15B1C">
              <w:rPr>
                <w:rFonts w:cstheme="minorHAnsi"/>
                <w:color w:val="000000" w:themeColor="text1"/>
                <w:sz w:val="20"/>
                <w:szCs w:val="20"/>
              </w:rPr>
              <w:t>‘</w:t>
            </w:r>
            <w:r w:rsidRPr="00D15B1C">
              <w:rPr>
                <w:rFonts w:cstheme="minorHAnsi"/>
                <w:color w:val="000000" w:themeColor="text1"/>
                <w:sz w:val="20"/>
                <w:szCs w:val="20"/>
              </w:rPr>
              <w:t>+’</w:t>
            </w:r>
            <w:r w:rsidR="008764CC" w:rsidRPr="007C45C9">
              <w:rPr>
                <w:rFonts w:cstheme="minorHAnsi"/>
                <w:color w:val="000000" w:themeColor="text1"/>
                <w:sz w:val="20"/>
                <w:szCs w:val="20"/>
              </w:rPr>
              <w:t xml:space="preserve"> to add more indicators against </w:t>
            </w:r>
            <w:r w:rsidR="000D2554">
              <w:rPr>
                <w:rFonts w:cstheme="minorHAnsi"/>
                <w:color w:val="000000" w:themeColor="text1"/>
                <w:sz w:val="20"/>
                <w:szCs w:val="20"/>
              </w:rPr>
              <w:t xml:space="preserve">each cross-cutting </w:t>
            </w:r>
            <w:r w:rsidR="008764CC" w:rsidRPr="007C45C9">
              <w:rPr>
                <w:rFonts w:cstheme="minorHAnsi"/>
                <w:color w:val="000000" w:themeColor="text1"/>
                <w:sz w:val="20"/>
                <w:szCs w:val="20"/>
              </w:rPr>
              <w:t>outcome.</w:t>
            </w:r>
          </w:p>
        </w:tc>
      </w:tr>
      <w:tr w:rsidR="00DD3366" w14:paraId="47558E39" w14:textId="77777777" w:rsidTr="0E2DE7DC">
        <w:tc>
          <w:tcPr>
            <w:tcW w:w="1696" w:type="dxa"/>
          </w:tcPr>
          <w:p w14:paraId="31DA7289" w14:textId="4AE5C149" w:rsidR="006B7BF6" w:rsidRPr="007C45C9"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Communicable disease control indicators</w:t>
            </w:r>
          </w:p>
          <w:p w14:paraId="3F8CF017" w14:textId="302C62E3" w:rsidR="00201ED7" w:rsidRPr="007C45C9"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(EOPO1)</w:t>
            </w:r>
          </w:p>
          <w:p w14:paraId="59FA3B2E" w14:textId="1CE379B9" w:rsidR="00DD3366" w:rsidRPr="007C45C9" w:rsidRDefault="00DD3366" w:rsidP="007C45C9">
            <w:pPr>
              <w:spacing w:after="120" w:line="250" w:lineRule="auto"/>
              <w:rPr>
                <w:rFonts w:cstheme="minorHAnsi"/>
                <w:color w:val="000000" w:themeColor="text1"/>
                <w:sz w:val="20"/>
                <w:szCs w:val="20"/>
              </w:rPr>
            </w:pPr>
          </w:p>
        </w:tc>
        <w:tc>
          <w:tcPr>
            <w:tcW w:w="7797" w:type="dxa"/>
          </w:tcPr>
          <w:p w14:paraId="2CADE6A7" w14:textId="63A20365" w:rsidR="00D555E5" w:rsidRPr="000D2554" w:rsidRDefault="00D555E5"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Section 2</w:t>
            </w:r>
          </w:p>
          <w:p w14:paraId="5CF19E77" w14:textId="2546B8B9" w:rsidR="005B352F" w:rsidRPr="00F24065" w:rsidRDefault="00F45AB3"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 xml:space="preserve">Using </w:t>
            </w:r>
            <w:r w:rsidR="00F372B4" w:rsidRPr="00D15B1C">
              <w:rPr>
                <w:rFonts w:cstheme="minorHAnsi"/>
                <w:color w:val="000000" w:themeColor="text1"/>
                <w:sz w:val="20"/>
                <w:szCs w:val="20"/>
                <w:u w:val="single"/>
              </w:rPr>
              <w:t>the</w:t>
            </w:r>
            <w:r w:rsidRPr="007C45C9">
              <w:rPr>
                <w:rFonts w:cstheme="minorHAnsi"/>
                <w:color w:val="000000" w:themeColor="text1"/>
                <w:sz w:val="20"/>
                <w:szCs w:val="20"/>
                <w:u w:val="single"/>
              </w:rPr>
              <w:t xml:space="preserve"> dropdown menu</w:t>
            </w:r>
            <w:r w:rsidR="00BF49B3" w:rsidRPr="00D15B1C">
              <w:rPr>
                <w:rFonts w:cstheme="minorHAnsi"/>
                <w:color w:val="000000" w:themeColor="text1"/>
                <w:sz w:val="20"/>
                <w:szCs w:val="20"/>
              </w:rPr>
              <w:t>,</w:t>
            </w:r>
            <w:r w:rsidRPr="007C45C9">
              <w:rPr>
                <w:rFonts w:cstheme="minorHAnsi"/>
                <w:color w:val="000000" w:themeColor="text1"/>
                <w:sz w:val="20"/>
                <w:szCs w:val="20"/>
              </w:rPr>
              <w:t xml:space="preserve"> select the PHR EOPO1, and any intermediate outcomes (IOs) </w:t>
            </w:r>
            <w:r w:rsidRPr="007C45C9">
              <w:rPr>
                <w:rFonts w:cstheme="minorHAnsi"/>
                <w:color w:val="000000" w:themeColor="text1"/>
                <w:sz w:val="20"/>
                <w:szCs w:val="20"/>
                <w:u w:val="single"/>
              </w:rPr>
              <w:t>relevant to your project.</w:t>
            </w:r>
          </w:p>
          <w:p w14:paraId="62F8FAF3" w14:textId="19227FE1" w:rsidR="00BC093F" w:rsidRPr="00F24065" w:rsidRDefault="00EC6E64"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 xml:space="preserve">You can only add / select one indicator at a time. Please use the </w:t>
            </w:r>
            <w:r w:rsidRPr="00D15B1C">
              <w:rPr>
                <w:rFonts w:cstheme="minorHAnsi"/>
                <w:color w:val="000000" w:themeColor="text1"/>
                <w:sz w:val="20"/>
                <w:szCs w:val="20"/>
              </w:rPr>
              <w:t>‘+’</w:t>
            </w:r>
            <w:r w:rsidRPr="007C45C9">
              <w:rPr>
                <w:rFonts w:cstheme="minorHAnsi"/>
                <w:color w:val="000000" w:themeColor="text1"/>
                <w:sz w:val="20"/>
                <w:szCs w:val="20"/>
              </w:rPr>
              <w:t xml:space="preserve"> to add more indicators</w:t>
            </w:r>
            <w:r w:rsidR="005B352F" w:rsidRPr="007C45C9">
              <w:rPr>
                <w:rFonts w:cstheme="minorHAnsi"/>
                <w:color w:val="000000" w:themeColor="text1"/>
                <w:sz w:val="20"/>
                <w:szCs w:val="20"/>
              </w:rPr>
              <w:t>.</w:t>
            </w:r>
          </w:p>
          <w:p w14:paraId="6FBD2C33" w14:textId="5B70B035" w:rsidR="00DD3366" w:rsidRPr="007C45C9" w:rsidRDefault="00BC093F"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If you</w:t>
            </w:r>
            <w:r w:rsidR="0048337F" w:rsidRPr="007C45C9">
              <w:rPr>
                <w:rFonts w:cstheme="minorHAnsi"/>
                <w:color w:val="000000" w:themeColor="text1"/>
                <w:sz w:val="20"/>
                <w:szCs w:val="20"/>
              </w:rPr>
              <w:t>r project does not cover EOPO1</w:t>
            </w:r>
            <w:r w:rsidR="00EB4921" w:rsidRPr="00D15B1C">
              <w:rPr>
                <w:rFonts w:cstheme="minorHAnsi"/>
                <w:color w:val="000000" w:themeColor="text1"/>
                <w:sz w:val="20"/>
                <w:szCs w:val="20"/>
              </w:rPr>
              <w:t>,</w:t>
            </w:r>
            <w:r w:rsidR="0048337F" w:rsidRPr="007C45C9">
              <w:rPr>
                <w:rFonts w:cstheme="minorHAnsi"/>
                <w:color w:val="000000" w:themeColor="text1"/>
                <w:sz w:val="20"/>
                <w:szCs w:val="20"/>
              </w:rPr>
              <w:t xml:space="preserve"> please skip this section.</w:t>
            </w:r>
          </w:p>
        </w:tc>
      </w:tr>
      <w:tr w:rsidR="00882C1F" w14:paraId="328B5D94" w14:textId="77777777" w:rsidTr="0E2DE7DC">
        <w:trPr>
          <w:trHeight w:val="1642"/>
        </w:trPr>
        <w:tc>
          <w:tcPr>
            <w:tcW w:w="1696" w:type="dxa"/>
          </w:tcPr>
          <w:p w14:paraId="3B2F9B9F" w14:textId="0AA015A3" w:rsidR="006B7BF6" w:rsidRPr="007C45C9" w:rsidRDefault="00FF16F8" w:rsidP="007C45C9">
            <w:pPr>
              <w:spacing w:after="120" w:line="250" w:lineRule="auto"/>
              <w:rPr>
                <w:rFonts w:cstheme="minorHAnsi"/>
                <w:b/>
                <w:bCs/>
                <w:color w:val="000000" w:themeColor="text1"/>
                <w:sz w:val="20"/>
                <w:szCs w:val="20"/>
              </w:rPr>
            </w:pPr>
            <w:r>
              <w:rPr>
                <w:rFonts w:cstheme="minorHAnsi"/>
                <w:b/>
                <w:bCs/>
                <w:color w:val="000000" w:themeColor="text1"/>
                <w:sz w:val="20"/>
                <w:szCs w:val="20"/>
              </w:rPr>
              <w:t>N</w:t>
            </w:r>
            <w:r w:rsidR="00201ED7" w:rsidRPr="007C45C9">
              <w:rPr>
                <w:rFonts w:cstheme="minorHAnsi"/>
                <w:b/>
                <w:bCs/>
                <w:color w:val="000000" w:themeColor="text1"/>
                <w:sz w:val="20"/>
                <w:szCs w:val="20"/>
              </w:rPr>
              <w:t>on-communicable disease control indicators</w:t>
            </w:r>
          </w:p>
          <w:p w14:paraId="2A084AB4" w14:textId="63323343" w:rsidR="00882C1F" w:rsidRPr="00E416F7"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(EOPO2)</w:t>
            </w:r>
          </w:p>
        </w:tc>
        <w:tc>
          <w:tcPr>
            <w:tcW w:w="7797" w:type="dxa"/>
          </w:tcPr>
          <w:p w14:paraId="589254D1" w14:textId="59691AB9" w:rsidR="0035547D" w:rsidRPr="00F24065" w:rsidRDefault="0035547D"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Section 3</w:t>
            </w:r>
          </w:p>
          <w:p w14:paraId="304F238A" w14:textId="785AEAD6" w:rsidR="00186C08" w:rsidRPr="00F24065" w:rsidRDefault="00186C08"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 xml:space="preserve">Using </w:t>
            </w:r>
            <w:r w:rsidR="00BF49B3" w:rsidRPr="00D15B1C">
              <w:rPr>
                <w:rFonts w:cstheme="minorHAnsi"/>
                <w:color w:val="000000" w:themeColor="text1"/>
                <w:sz w:val="20"/>
                <w:szCs w:val="20"/>
                <w:u w:val="single"/>
              </w:rPr>
              <w:t>the</w:t>
            </w:r>
            <w:r w:rsidRPr="007C45C9">
              <w:rPr>
                <w:rFonts w:cstheme="minorHAnsi"/>
                <w:color w:val="000000" w:themeColor="text1"/>
                <w:sz w:val="20"/>
                <w:szCs w:val="20"/>
                <w:u w:val="single"/>
              </w:rPr>
              <w:t xml:space="preserve"> dropdown menu</w:t>
            </w:r>
            <w:r w:rsidR="00BF49B3" w:rsidRPr="00D15B1C">
              <w:rPr>
                <w:rFonts w:cstheme="minorHAnsi"/>
                <w:color w:val="000000" w:themeColor="text1"/>
                <w:sz w:val="20"/>
                <w:szCs w:val="20"/>
              </w:rPr>
              <w:t>,</w:t>
            </w:r>
            <w:r w:rsidRPr="007C45C9">
              <w:rPr>
                <w:rFonts w:cstheme="minorHAnsi"/>
                <w:color w:val="000000" w:themeColor="text1"/>
                <w:sz w:val="20"/>
                <w:szCs w:val="20"/>
              </w:rPr>
              <w:t xml:space="preserve"> select the PHR EOPO2, and any intermediate outcomes (IOs) </w:t>
            </w:r>
            <w:r w:rsidRPr="007C45C9">
              <w:rPr>
                <w:rFonts w:cstheme="minorHAnsi"/>
                <w:color w:val="000000" w:themeColor="text1"/>
                <w:sz w:val="20"/>
                <w:szCs w:val="20"/>
                <w:u w:val="single"/>
              </w:rPr>
              <w:t>relevant to your project.</w:t>
            </w:r>
          </w:p>
          <w:p w14:paraId="6A82A9ED" w14:textId="0E253678" w:rsidR="00186C08" w:rsidRPr="00F24065" w:rsidRDefault="00186C08"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 xml:space="preserve">You can only add / select one indicator at a time. Please use the </w:t>
            </w:r>
            <w:r w:rsidRPr="00D15B1C">
              <w:rPr>
                <w:rFonts w:cstheme="minorHAnsi"/>
                <w:color w:val="000000" w:themeColor="text1"/>
                <w:sz w:val="20"/>
                <w:szCs w:val="20"/>
              </w:rPr>
              <w:t>‘+’</w:t>
            </w:r>
            <w:r w:rsidRPr="007C45C9">
              <w:rPr>
                <w:rFonts w:cstheme="minorHAnsi"/>
                <w:color w:val="000000" w:themeColor="text1"/>
                <w:sz w:val="20"/>
                <w:szCs w:val="20"/>
              </w:rPr>
              <w:t xml:space="preserve"> to add more indicators.</w:t>
            </w:r>
          </w:p>
          <w:p w14:paraId="1B269769" w14:textId="59D7C53F" w:rsidR="00882C1F" w:rsidRPr="007C45C9" w:rsidRDefault="00186C08"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rPr>
              <w:t>If your project does not cover EOPO</w:t>
            </w:r>
            <w:r w:rsidR="0035547D" w:rsidRPr="007C45C9">
              <w:rPr>
                <w:rFonts w:cstheme="minorHAnsi"/>
                <w:color w:val="000000" w:themeColor="text1"/>
                <w:sz w:val="20"/>
                <w:szCs w:val="20"/>
              </w:rPr>
              <w:t>2</w:t>
            </w:r>
            <w:r w:rsidR="00EB4921" w:rsidRPr="00D15B1C">
              <w:rPr>
                <w:rFonts w:cstheme="minorHAnsi"/>
                <w:color w:val="000000" w:themeColor="text1"/>
                <w:sz w:val="20"/>
                <w:szCs w:val="20"/>
              </w:rPr>
              <w:t>,</w:t>
            </w:r>
            <w:r w:rsidRPr="007C45C9">
              <w:rPr>
                <w:rFonts w:cstheme="minorHAnsi"/>
                <w:color w:val="000000" w:themeColor="text1"/>
                <w:sz w:val="20"/>
                <w:szCs w:val="20"/>
              </w:rPr>
              <w:t xml:space="preserve"> please skip this section</w:t>
            </w:r>
            <w:r w:rsidR="0035547D" w:rsidRPr="007C45C9">
              <w:rPr>
                <w:rFonts w:cstheme="minorHAnsi"/>
                <w:color w:val="000000" w:themeColor="text1"/>
                <w:sz w:val="20"/>
                <w:szCs w:val="20"/>
              </w:rPr>
              <w:t>.</w:t>
            </w:r>
          </w:p>
        </w:tc>
      </w:tr>
      <w:tr w:rsidR="00434FC2" w14:paraId="0B23BF80" w14:textId="77777777" w:rsidTr="0E2DE7DC">
        <w:tc>
          <w:tcPr>
            <w:tcW w:w="1696" w:type="dxa"/>
          </w:tcPr>
          <w:p w14:paraId="462DDBB8" w14:textId="628EDF5D" w:rsidR="006B7BF6" w:rsidRPr="007C45C9"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 xml:space="preserve">Sexual and </w:t>
            </w:r>
            <w:r w:rsidR="00F26F5D" w:rsidRPr="00D15B1C">
              <w:rPr>
                <w:rFonts w:cstheme="minorHAnsi"/>
                <w:b/>
                <w:bCs/>
                <w:color w:val="000000" w:themeColor="text1"/>
                <w:sz w:val="20"/>
                <w:szCs w:val="20"/>
              </w:rPr>
              <w:t>r</w:t>
            </w:r>
            <w:r w:rsidRPr="00D15B1C">
              <w:rPr>
                <w:rFonts w:cstheme="minorHAnsi"/>
                <w:b/>
                <w:bCs/>
                <w:color w:val="000000" w:themeColor="text1"/>
                <w:sz w:val="20"/>
                <w:szCs w:val="20"/>
              </w:rPr>
              <w:t xml:space="preserve">eproductive </w:t>
            </w:r>
            <w:r w:rsidR="00F26F5D" w:rsidRPr="00D15B1C">
              <w:rPr>
                <w:rFonts w:cstheme="minorHAnsi"/>
                <w:b/>
                <w:bCs/>
                <w:color w:val="000000" w:themeColor="text1"/>
                <w:sz w:val="20"/>
                <w:szCs w:val="20"/>
              </w:rPr>
              <w:t>h</w:t>
            </w:r>
            <w:r w:rsidRPr="00D15B1C">
              <w:rPr>
                <w:rFonts w:cstheme="minorHAnsi"/>
                <w:b/>
                <w:bCs/>
                <w:color w:val="000000" w:themeColor="text1"/>
                <w:sz w:val="20"/>
                <w:szCs w:val="20"/>
              </w:rPr>
              <w:t>ealth</w:t>
            </w:r>
            <w:r w:rsidRPr="007C45C9">
              <w:rPr>
                <w:rFonts w:cstheme="minorHAnsi"/>
                <w:b/>
                <w:bCs/>
                <w:color w:val="000000" w:themeColor="text1"/>
                <w:sz w:val="20"/>
                <w:szCs w:val="20"/>
              </w:rPr>
              <w:t xml:space="preserve"> </w:t>
            </w:r>
            <w:r w:rsidR="00AE3365">
              <w:rPr>
                <w:rFonts w:cstheme="minorHAnsi"/>
                <w:b/>
                <w:bCs/>
                <w:color w:val="000000" w:themeColor="text1"/>
                <w:sz w:val="20"/>
                <w:szCs w:val="20"/>
              </w:rPr>
              <w:t xml:space="preserve">and </w:t>
            </w:r>
            <w:r w:rsidR="00F26F5D" w:rsidRPr="00D15B1C">
              <w:rPr>
                <w:rFonts w:cstheme="minorHAnsi"/>
                <w:b/>
                <w:bCs/>
                <w:color w:val="000000" w:themeColor="text1"/>
                <w:sz w:val="20"/>
                <w:szCs w:val="20"/>
              </w:rPr>
              <w:t>r</w:t>
            </w:r>
            <w:r w:rsidRPr="00D15B1C">
              <w:rPr>
                <w:rFonts w:cstheme="minorHAnsi"/>
                <w:b/>
                <w:bCs/>
                <w:color w:val="000000" w:themeColor="text1"/>
                <w:sz w:val="20"/>
                <w:szCs w:val="20"/>
              </w:rPr>
              <w:t>ights</w:t>
            </w:r>
            <w:r w:rsidRPr="007C45C9">
              <w:rPr>
                <w:rFonts w:cstheme="minorHAnsi"/>
                <w:b/>
                <w:bCs/>
                <w:color w:val="000000" w:themeColor="text1"/>
                <w:sz w:val="20"/>
                <w:szCs w:val="20"/>
              </w:rPr>
              <w:t xml:space="preserve"> indicators</w:t>
            </w:r>
          </w:p>
          <w:p w14:paraId="6291D90A" w14:textId="65DE04B7" w:rsidR="00434FC2" w:rsidRPr="00E416F7"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(EOPO3)</w:t>
            </w:r>
          </w:p>
        </w:tc>
        <w:tc>
          <w:tcPr>
            <w:tcW w:w="7797" w:type="dxa"/>
          </w:tcPr>
          <w:p w14:paraId="7774EEEC" w14:textId="30330DAA" w:rsidR="009A39FC" w:rsidRPr="00F24065" w:rsidRDefault="009A39FC"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Section 4</w:t>
            </w:r>
          </w:p>
          <w:p w14:paraId="4D9C54ED" w14:textId="57CD19E5" w:rsidR="009A39FC" w:rsidRPr="00F24065" w:rsidRDefault="00860324"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 xml:space="preserve">Using </w:t>
            </w:r>
            <w:r w:rsidR="00BF49B3" w:rsidRPr="00D15B1C">
              <w:rPr>
                <w:rFonts w:cstheme="minorHAnsi"/>
                <w:color w:val="000000" w:themeColor="text1"/>
                <w:sz w:val="20"/>
                <w:szCs w:val="20"/>
                <w:u w:val="single"/>
              </w:rPr>
              <w:t>the</w:t>
            </w:r>
            <w:r w:rsidRPr="007C45C9">
              <w:rPr>
                <w:rFonts w:cstheme="minorHAnsi"/>
                <w:color w:val="000000" w:themeColor="text1"/>
                <w:sz w:val="20"/>
                <w:szCs w:val="20"/>
                <w:u w:val="single"/>
              </w:rPr>
              <w:t xml:space="preserve"> dropdown menu</w:t>
            </w:r>
            <w:r w:rsidR="00BF49B3" w:rsidRPr="00D15B1C">
              <w:rPr>
                <w:rFonts w:cstheme="minorHAnsi"/>
                <w:color w:val="000000" w:themeColor="text1"/>
                <w:sz w:val="20"/>
                <w:szCs w:val="20"/>
              </w:rPr>
              <w:t>,</w:t>
            </w:r>
            <w:r w:rsidRPr="007C45C9">
              <w:rPr>
                <w:rFonts w:cstheme="minorHAnsi"/>
                <w:color w:val="000000" w:themeColor="text1"/>
                <w:sz w:val="20"/>
                <w:szCs w:val="20"/>
              </w:rPr>
              <w:t xml:space="preserve"> select the PHR EOPO3, and any intermediate outcomes (IOs) </w:t>
            </w:r>
            <w:r w:rsidRPr="007C45C9">
              <w:rPr>
                <w:rFonts w:cstheme="minorHAnsi"/>
                <w:color w:val="000000" w:themeColor="text1"/>
                <w:sz w:val="20"/>
                <w:szCs w:val="20"/>
                <w:u w:val="single"/>
              </w:rPr>
              <w:t>relevant to your project.</w:t>
            </w:r>
          </w:p>
          <w:p w14:paraId="2DBD3819" w14:textId="5F6D126B" w:rsidR="009A39FC" w:rsidRPr="00F24065" w:rsidRDefault="009A39FC"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 xml:space="preserve">You can only add / select one indicator at a time. Please use the </w:t>
            </w:r>
            <w:r w:rsidRPr="00D15B1C">
              <w:rPr>
                <w:rFonts w:cstheme="minorHAnsi"/>
                <w:color w:val="000000" w:themeColor="text1"/>
                <w:sz w:val="20"/>
                <w:szCs w:val="20"/>
              </w:rPr>
              <w:t>‘+’</w:t>
            </w:r>
            <w:r w:rsidRPr="007C45C9">
              <w:rPr>
                <w:rFonts w:cstheme="minorHAnsi"/>
                <w:color w:val="000000" w:themeColor="text1"/>
                <w:sz w:val="20"/>
                <w:szCs w:val="20"/>
              </w:rPr>
              <w:t xml:space="preserve"> to add more indicators.</w:t>
            </w:r>
          </w:p>
          <w:p w14:paraId="10403AFD" w14:textId="76EB3B43" w:rsidR="00434FC2" w:rsidRPr="007C45C9" w:rsidRDefault="009A39FC" w:rsidP="00E416F7">
            <w:pPr>
              <w:spacing w:after="80" w:line="247" w:lineRule="auto"/>
              <w:rPr>
                <w:rFonts w:cstheme="minorHAnsi"/>
                <w:b/>
                <w:bCs/>
                <w:color w:val="000000" w:themeColor="text1"/>
                <w:sz w:val="20"/>
                <w:szCs w:val="20"/>
              </w:rPr>
            </w:pPr>
            <w:r w:rsidRPr="007C45C9">
              <w:rPr>
                <w:rFonts w:cstheme="minorHAnsi"/>
                <w:color w:val="000000" w:themeColor="text1"/>
                <w:sz w:val="20"/>
                <w:szCs w:val="20"/>
              </w:rPr>
              <w:t>If your project does not cover EOPO3</w:t>
            </w:r>
            <w:r w:rsidR="00EB4921" w:rsidRPr="00D15B1C">
              <w:rPr>
                <w:rFonts w:cstheme="minorHAnsi"/>
                <w:color w:val="000000" w:themeColor="text1"/>
                <w:sz w:val="20"/>
                <w:szCs w:val="20"/>
              </w:rPr>
              <w:t>,</w:t>
            </w:r>
            <w:r w:rsidRPr="007C45C9">
              <w:rPr>
                <w:rFonts w:cstheme="minorHAnsi"/>
                <w:color w:val="000000" w:themeColor="text1"/>
                <w:sz w:val="20"/>
                <w:szCs w:val="20"/>
              </w:rPr>
              <w:t xml:space="preserve"> please skip this section.</w:t>
            </w:r>
          </w:p>
        </w:tc>
      </w:tr>
      <w:tr w:rsidR="00C339D1" w14:paraId="38A60C49" w14:textId="77777777" w:rsidTr="0E2DE7DC">
        <w:tc>
          <w:tcPr>
            <w:tcW w:w="1696" w:type="dxa"/>
          </w:tcPr>
          <w:p w14:paraId="0A7937F3" w14:textId="621FC3AA" w:rsidR="006B7BF6" w:rsidRPr="007C45C9" w:rsidRDefault="00201ED7" w:rsidP="007C45C9">
            <w:pPr>
              <w:spacing w:after="120" w:line="250" w:lineRule="auto"/>
              <w:rPr>
                <w:rFonts w:cstheme="minorHAnsi"/>
                <w:b/>
                <w:bCs/>
                <w:color w:val="000000" w:themeColor="text1"/>
                <w:sz w:val="20"/>
                <w:szCs w:val="20"/>
              </w:rPr>
            </w:pPr>
            <w:r w:rsidRPr="00D15B1C">
              <w:rPr>
                <w:rFonts w:cstheme="minorHAnsi"/>
                <w:b/>
                <w:bCs/>
                <w:color w:val="000000" w:themeColor="text1"/>
                <w:sz w:val="20"/>
                <w:szCs w:val="20"/>
              </w:rPr>
              <w:t xml:space="preserve">Resilient </w:t>
            </w:r>
            <w:r w:rsidR="00F26F5D" w:rsidRPr="00D15B1C">
              <w:rPr>
                <w:rFonts w:cstheme="minorHAnsi"/>
                <w:b/>
                <w:bCs/>
                <w:color w:val="000000" w:themeColor="text1"/>
                <w:sz w:val="20"/>
                <w:szCs w:val="20"/>
              </w:rPr>
              <w:t>h</w:t>
            </w:r>
            <w:r w:rsidRPr="00D15B1C">
              <w:rPr>
                <w:rFonts w:cstheme="minorHAnsi"/>
                <w:b/>
                <w:bCs/>
                <w:color w:val="000000" w:themeColor="text1"/>
                <w:sz w:val="20"/>
                <w:szCs w:val="20"/>
              </w:rPr>
              <w:t xml:space="preserve">ealth </w:t>
            </w:r>
            <w:r w:rsidR="00F26F5D" w:rsidRPr="00D15B1C">
              <w:rPr>
                <w:rFonts w:cstheme="minorHAnsi"/>
                <w:b/>
                <w:bCs/>
                <w:color w:val="000000" w:themeColor="text1"/>
                <w:sz w:val="20"/>
                <w:szCs w:val="20"/>
              </w:rPr>
              <w:t>s</w:t>
            </w:r>
            <w:r w:rsidRPr="00D15B1C">
              <w:rPr>
                <w:rFonts w:cstheme="minorHAnsi"/>
                <w:b/>
                <w:bCs/>
                <w:color w:val="000000" w:themeColor="text1"/>
                <w:sz w:val="20"/>
                <w:szCs w:val="20"/>
              </w:rPr>
              <w:t>ystems</w:t>
            </w:r>
            <w:r w:rsidR="007A395C" w:rsidRPr="00D15B1C">
              <w:rPr>
                <w:rFonts w:cstheme="minorHAnsi"/>
                <w:b/>
                <w:bCs/>
                <w:color w:val="000000" w:themeColor="text1"/>
                <w:sz w:val="20"/>
                <w:szCs w:val="20"/>
              </w:rPr>
              <w:t xml:space="preserve"> indicators</w:t>
            </w:r>
          </w:p>
          <w:p w14:paraId="3465187C" w14:textId="269703CB" w:rsidR="00201ED7" w:rsidRPr="007C45C9" w:rsidRDefault="00201ED7" w:rsidP="007C45C9">
            <w:pPr>
              <w:spacing w:after="120" w:line="250" w:lineRule="auto"/>
              <w:rPr>
                <w:rFonts w:cstheme="minorHAnsi"/>
                <w:b/>
                <w:bCs/>
                <w:color w:val="000000" w:themeColor="text1"/>
                <w:sz w:val="20"/>
                <w:szCs w:val="20"/>
              </w:rPr>
            </w:pPr>
            <w:r w:rsidRPr="007C45C9">
              <w:rPr>
                <w:rFonts w:cstheme="minorHAnsi"/>
                <w:b/>
                <w:bCs/>
                <w:color w:val="000000" w:themeColor="text1"/>
                <w:sz w:val="20"/>
                <w:szCs w:val="20"/>
              </w:rPr>
              <w:t>(EOPO4)</w:t>
            </w:r>
          </w:p>
          <w:p w14:paraId="0B7910F8" w14:textId="2BDDC221" w:rsidR="00C339D1" w:rsidRPr="007C45C9" w:rsidRDefault="00C339D1" w:rsidP="007C45C9">
            <w:pPr>
              <w:spacing w:after="120" w:line="250" w:lineRule="auto"/>
              <w:rPr>
                <w:rFonts w:cstheme="minorHAnsi"/>
                <w:color w:val="000000" w:themeColor="text1"/>
                <w:sz w:val="20"/>
                <w:szCs w:val="20"/>
              </w:rPr>
            </w:pPr>
          </w:p>
        </w:tc>
        <w:tc>
          <w:tcPr>
            <w:tcW w:w="7797" w:type="dxa"/>
          </w:tcPr>
          <w:p w14:paraId="3C01C5D1" w14:textId="31A00029" w:rsidR="006B7BF6" w:rsidRPr="00F24065" w:rsidRDefault="006B7BF6"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Section 5</w:t>
            </w:r>
          </w:p>
          <w:p w14:paraId="5C6BD0CE" w14:textId="574B1224" w:rsidR="006B7BF6" w:rsidRPr="00F24065" w:rsidRDefault="00860324" w:rsidP="00E416F7">
            <w:pPr>
              <w:spacing w:after="80" w:line="247" w:lineRule="auto"/>
              <w:rPr>
                <w:rFonts w:cstheme="minorHAnsi"/>
                <w:color w:val="000000" w:themeColor="text1"/>
                <w:sz w:val="20"/>
                <w:szCs w:val="20"/>
                <w:u w:val="single"/>
              </w:rPr>
            </w:pPr>
            <w:r w:rsidRPr="007C45C9">
              <w:rPr>
                <w:rFonts w:cstheme="minorHAnsi"/>
                <w:color w:val="000000" w:themeColor="text1"/>
                <w:sz w:val="20"/>
                <w:szCs w:val="20"/>
                <w:u w:val="single"/>
              </w:rPr>
              <w:t xml:space="preserve">Using </w:t>
            </w:r>
            <w:r w:rsidR="00BF49B3" w:rsidRPr="00D15B1C">
              <w:rPr>
                <w:rFonts w:cstheme="minorHAnsi"/>
                <w:color w:val="000000" w:themeColor="text1"/>
                <w:sz w:val="20"/>
                <w:szCs w:val="20"/>
                <w:u w:val="single"/>
              </w:rPr>
              <w:t>the</w:t>
            </w:r>
            <w:r w:rsidRPr="007C45C9">
              <w:rPr>
                <w:rFonts w:cstheme="minorHAnsi"/>
                <w:color w:val="000000" w:themeColor="text1"/>
                <w:sz w:val="20"/>
                <w:szCs w:val="20"/>
                <w:u w:val="single"/>
              </w:rPr>
              <w:t xml:space="preserve"> dropdown menu</w:t>
            </w:r>
            <w:r w:rsidR="00BF49B3" w:rsidRPr="00D15B1C">
              <w:rPr>
                <w:rFonts w:cstheme="minorHAnsi"/>
                <w:color w:val="000000" w:themeColor="text1"/>
                <w:sz w:val="20"/>
                <w:szCs w:val="20"/>
              </w:rPr>
              <w:t>,</w:t>
            </w:r>
            <w:r w:rsidRPr="007C45C9">
              <w:rPr>
                <w:rFonts w:cstheme="minorHAnsi"/>
                <w:color w:val="000000" w:themeColor="text1"/>
                <w:sz w:val="20"/>
                <w:szCs w:val="20"/>
              </w:rPr>
              <w:t xml:space="preserve"> select the PHR EOPO</w:t>
            </w:r>
            <w:r w:rsidR="006B7BF6" w:rsidRPr="007C45C9">
              <w:rPr>
                <w:rFonts w:cstheme="minorHAnsi"/>
                <w:color w:val="000000" w:themeColor="text1"/>
                <w:sz w:val="20"/>
                <w:szCs w:val="20"/>
              </w:rPr>
              <w:t>4</w:t>
            </w:r>
            <w:r w:rsidRPr="007C45C9">
              <w:rPr>
                <w:rFonts w:cstheme="minorHAnsi"/>
                <w:color w:val="000000" w:themeColor="text1"/>
                <w:sz w:val="20"/>
                <w:szCs w:val="20"/>
              </w:rPr>
              <w:t xml:space="preserve">, and any intermediate outcomes (IOs) </w:t>
            </w:r>
            <w:r w:rsidRPr="007C45C9">
              <w:rPr>
                <w:rFonts w:cstheme="minorHAnsi"/>
                <w:color w:val="000000" w:themeColor="text1"/>
                <w:sz w:val="20"/>
                <w:szCs w:val="20"/>
                <w:u w:val="single"/>
              </w:rPr>
              <w:t>relevant to your project.</w:t>
            </w:r>
          </w:p>
          <w:p w14:paraId="4FCB6F50" w14:textId="229A6BB3" w:rsidR="006B7BF6" w:rsidRPr="00F24065" w:rsidRDefault="006B7BF6"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 xml:space="preserve">You can only add / select one indicator at a time. Please use the </w:t>
            </w:r>
            <w:r w:rsidRPr="00D15B1C">
              <w:rPr>
                <w:rFonts w:cstheme="minorHAnsi"/>
                <w:color w:val="000000" w:themeColor="text1"/>
                <w:sz w:val="20"/>
                <w:szCs w:val="20"/>
              </w:rPr>
              <w:t>‘+’</w:t>
            </w:r>
            <w:r w:rsidRPr="007C45C9">
              <w:rPr>
                <w:rFonts w:cstheme="minorHAnsi"/>
                <w:color w:val="000000" w:themeColor="text1"/>
                <w:sz w:val="20"/>
                <w:szCs w:val="20"/>
              </w:rPr>
              <w:t xml:space="preserve"> to add more indicators.</w:t>
            </w:r>
          </w:p>
          <w:p w14:paraId="3E8CBFC7" w14:textId="466FA7F8" w:rsidR="00C339D1" w:rsidRPr="007C45C9" w:rsidRDefault="006B7BF6" w:rsidP="00E416F7">
            <w:pPr>
              <w:spacing w:after="80" w:line="247" w:lineRule="auto"/>
              <w:rPr>
                <w:rFonts w:cstheme="minorHAnsi"/>
                <w:color w:val="000000" w:themeColor="text1"/>
                <w:sz w:val="20"/>
                <w:szCs w:val="20"/>
              </w:rPr>
            </w:pPr>
            <w:r w:rsidRPr="007C45C9">
              <w:rPr>
                <w:rFonts w:cstheme="minorHAnsi"/>
                <w:color w:val="000000" w:themeColor="text1"/>
                <w:sz w:val="20"/>
                <w:szCs w:val="20"/>
              </w:rPr>
              <w:t>If your project does not cover EOPO4</w:t>
            </w:r>
            <w:r w:rsidR="007B0D59" w:rsidRPr="00D15B1C">
              <w:rPr>
                <w:rFonts w:cstheme="minorHAnsi"/>
                <w:color w:val="000000" w:themeColor="text1"/>
                <w:sz w:val="20"/>
                <w:szCs w:val="20"/>
              </w:rPr>
              <w:t>,</w:t>
            </w:r>
            <w:r w:rsidRPr="007C45C9">
              <w:rPr>
                <w:rFonts w:cstheme="minorHAnsi"/>
                <w:color w:val="000000" w:themeColor="text1"/>
                <w:sz w:val="20"/>
                <w:szCs w:val="20"/>
              </w:rPr>
              <w:t xml:space="preserve"> please skip this section.</w:t>
            </w:r>
          </w:p>
        </w:tc>
      </w:tr>
      <w:tr w:rsidR="007314B8" w14:paraId="6F74556E" w14:textId="77777777" w:rsidTr="0E2DE7DC">
        <w:tc>
          <w:tcPr>
            <w:tcW w:w="1696" w:type="dxa"/>
          </w:tcPr>
          <w:p w14:paraId="2844C74D" w14:textId="3E8C0F72" w:rsidR="007314B8" w:rsidRPr="007C45C9" w:rsidRDefault="00201ED7" w:rsidP="00EA69B4">
            <w:pPr>
              <w:spacing w:after="120" w:line="250" w:lineRule="auto"/>
              <w:rPr>
                <w:rFonts w:cstheme="minorHAnsi"/>
                <w:color w:val="000000" w:themeColor="text1"/>
                <w:sz w:val="20"/>
                <w:szCs w:val="20"/>
              </w:rPr>
            </w:pPr>
            <w:r w:rsidRPr="007C45C9">
              <w:rPr>
                <w:rFonts w:cstheme="minorHAnsi"/>
                <w:b/>
                <w:bCs/>
                <w:color w:val="000000" w:themeColor="text1"/>
                <w:sz w:val="20"/>
                <w:szCs w:val="20"/>
              </w:rPr>
              <w:t>Tier 2 indicators</w:t>
            </w:r>
          </w:p>
        </w:tc>
        <w:tc>
          <w:tcPr>
            <w:tcW w:w="7797" w:type="dxa"/>
          </w:tcPr>
          <w:p w14:paraId="41EA75A4" w14:textId="6232F0B8" w:rsidR="0057505E" w:rsidRDefault="0057505E" w:rsidP="007C45C9">
            <w:pPr>
              <w:spacing w:after="120" w:line="250" w:lineRule="auto"/>
              <w:rPr>
                <w:rFonts w:cstheme="minorHAnsi"/>
                <w:color w:val="000000" w:themeColor="text1"/>
                <w:sz w:val="20"/>
                <w:szCs w:val="20"/>
                <w:u w:val="single"/>
              </w:rPr>
            </w:pPr>
            <w:r w:rsidRPr="007C45C9">
              <w:rPr>
                <w:rFonts w:cstheme="minorHAnsi"/>
                <w:color w:val="000000" w:themeColor="text1"/>
                <w:sz w:val="20"/>
                <w:szCs w:val="20"/>
                <w:u w:val="single"/>
              </w:rPr>
              <w:t>Section 6</w:t>
            </w:r>
          </w:p>
          <w:p w14:paraId="54CAF003" w14:textId="06060C8D" w:rsidR="00F24065" w:rsidRPr="00F24065" w:rsidRDefault="00F24065" w:rsidP="00B0454C">
            <w:pPr>
              <w:spacing w:after="80" w:line="250" w:lineRule="auto"/>
              <w:rPr>
                <w:rFonts w:cstheme="minorHAnsi"/>
                <w:color w:val="000000" w:themeColor="text1"/>
                <w:sz w:val="20"/>
                <w:szCs w:val="20"/>
              </w:rPr>
            </w:pPr>
            <w:r w:rsidRPr="00F24065">
              <w:rPr>
                <w:rFonts w:cstheme="minorHAnsi"/>
                <w:color w:val="000000" w:themeColor="text1"/>
                <w:sz w:val="20"/>
                <w:szCs w:val="20"/>
              </w:rPr>
              <w:t>This section covers</w:t>
            </w:r>
            <w:r>
              <w:rPr>
                <w:rFonts w:cstheme="minorHAnsi"/>
                <w:color w:val="000000" w:themeColor="text1"/>
                <w:sz w:val="20"/>
                <w:szCs w:val="20"/>
              </w:rPr>
              <w:t xml:space="preserve"> </w:t>
            </w:r>
            <w:r w:rsidR="00BA04C3">
              <w:rPr>
                <w:rFonts w:cstheme="minorHAnsi"/>
                <w:color w:val="000000" w:themeColor="text1"/>
                <w:sz w:val="20"/>
                <w:szCs w:val="20"/>
              </w:rPr>
              <w:t>the following</w:t>
            </w:r>
            <w:r w:rsidR="004E68C3">
              <w:rPr>
                <w:rFonts w:cstheme="minorHAnsi"/>
                <w:color w:val="000000" w:themeColor="text1"/>
                <w:sz w:val="20"/>
                <w:szCs w:val="20"/>
              </w:rPr>
              <w:t xml:space="preserve"> </w:t>
            </w:r>
            <w:r w:rsidR="00690C3F">
              <w:rPr>
                <w:rFonts w:cstheme="minorHAnsi"/>
                <w:color w:val="000000" w:themeColor="text1"/>
                <w:sz w:val="20"/>
                <w:szCs w:val="20"/>
              </w:rPr>
              <w:t>categor</w:t>
            </w:r>
            <w:r w:rsidR="004E68C3">
              <w:rPr>
                <w:rFonts w:cstheme="minorHAnsi"/>
                <w:color w:val="000000" w:themeColor="text1"/>
                <w:sz w:val="20"/>
                <w:szCs w:val="20"/>
              </w:rPr>
              <w:t>ies</w:t>
            </w:r>
            <w:r w:rsidR="00BA04C3">
              <w:rPr>
                <w:rFonts w:cstheme="minorHAnsi"/>
                <w:color w:val="000000" w:themeColor="text1"/>
                <w:sz w:val="20"/>
                <w:szCs w:val="20"/>
              </w:rPr>
              <w:t xml:space="preserve">: </w:t>
            </w:r>
            <w:r w:rsidRPr="00F24065">
              <w:rPr>
                <w:rFonts w:cstheme="minorHAnsi"/>
                <w:color w:val="000000" w:themeColor="text1"/>
                <w:sz w:val="20"/>
                <w:szCs w:val="20"/>
              </w:rPr>
              <w:t>Improved Governance, Gender Equality, Disability Equity, Strengthening Leadership, Strengthening Regional Architecture and Environment and Biodiversity</w:t>
            </w:r>
            <w:r w:rsidR="00B920E4" w:rsidRPr="00D15B1C">
              <w:rPr>
                <w:rFonts w:cstheme="minorHAnsi"/>
                <w:color w:val="000000" w:themeColor="text1"/>
                <w:sz w:val="20"/>
                <w:szCs w:val="20"/>
              </w:rPr>
              <w:t>.</w:t>
            </w:r>
          </w:p>
          <w:p w14:paraId="49214369" w14:textId="70AAC86C" w:rsidR="00F57862" w:rsidRPr="00B0454C" w:rsidRDefault="008A1444" w:rsidP="00B0454C">
            <w:pPr>
              <w:pStyle w:val="pf0"/>
              <w:spacing w:before="0" w:beforeAutospacing="0" w:after="80" w:afterAutospacing="0"/>
              <w:rPr>
                <w:rFonts w:asciiTheme="minorHAnsi" w:hAnsiTheme="minorHAnsi" w:cstheme="minorHAnsi"/>
                <w:sz w:val="20"/>
                <w:szCs w:val="20"/>
              </w:rPr>
            </w:pPr>
            <w:r w:rsidRPr="00B0454C">
              <w:rPr>
                <w:rFonts w:asciiTheme="minorHAnsi" w:hAnsiTheme="minorHAnsi" w:cstheme="minorHAnsi"/>
                <w:color w:val="000000" w:themeColor="text1"/>
                <w:sz w:val="20"/>
                <w:szCs w:val="20"/>
              </w:rPr>
              <w:t xml:space="preserve">The Tier 2 indicators </w:t>
            </w:r>
            <w:r w:rsidR="00C076BE" w:rsidRPr="00B0454C">
              <w:rPr>
                <w:rFonts w:asciiTheme="minorHAnsi" w:hAnsiTheme="minorHAnsi" w:cstheme="minorHAnsi"/>
                <w:color w:val="000000" w:themeColor="text1"/>
                <w:sz w:val="20"/>
                <w:szCs w:val="20"/>
              </w:rPr>
              <w:t xml:space="preserve">provide an agency-wide </w:t>
            </w:r>
            <w:r w:rsidR="00F57862" w:rsidRPr="00B0454C">
              <w:rPr>
                <w:rFonts w:asciiTheme="minorHAnsi" w:hAnsiTheme="minorHAnsi" w:cstheme="minorHAnsi"/>
                <w:color w:val="000000" w:themeColor="text1"/>
                <w:sz w:val="20"/>
                <w:szCs w:val="20"/>
              </w:rPr>
              <w:t xml:space="preserve">performance </w:t>
            </w:r>
            <w:r w:rsidR="00C076BE" w:rsidRPr="00B0454C">
              <w:rPr>
                <w:rFonts w:asciiTheme="minorHAnsi" w:hAnsiTheme="minorHAnsi" w:cstheme="minorHAnsi"/>
                <w:color w:val="000000" w:themeColor="text1"/>
                <w:sz w:val="20"/>
                <w:szCs w:val="20"/>
              </w:rPr>
              <w:t>measure of</w:t>
            </w:r>
            <w:r w:rsidR="00F57862" w:rsidRPr="00B0454C">
              <w:rPr>
                <w:rFonts w:asciiTheme="minorHAnsi" w:hAnsiTheme="minorHAnsi" w:cstheme="minorHAnsi"/>
                <w:color w:val="000000" w:themeColor="text1"/>
                <w:sz w:val="20"/>
                <w:szCs w:val="20"/>
              </w:rPr>
              <w:t xml:space="preserve"> ‘Australia’s International Development Policy’. </w:t>
            </w:r>
            <w:r w:rsidR="00F05F34" w:rsidRPr="00B0454C">
              <w:rPr>
                <w:rStyle w:val="cf01"/>
                <w:rFonts w:asciiTheme="minorHAnsi" w:hAnsiTheme="minorHAnsi" w:cstheme="minorHAnsi"/>
                <w:sz w:val="20"/>
                <w:szCs w:val="20"/>
              </w:rPr>
              <w:t xml:space="preserve">All Australian aid investments report against the Tier 2 indicators that are relevant to them. Review the </w:t>
            </w:r>
            <w:hyperlink r:id="rId12" w:history="1">
              <w:r w:rsidR="00E01DF1" w:rsidRPr="00597CEC">
                <w:rPr>
                  <w:rStyle w:val="Hyperlink"/>
                  <w:rFonts w:asciiTheme="minorHAnsi" w:hAnsiTheme="minorHAnsi" w:cstheme="minorHAnsi"/>
                  <w:sz w:val="20"/>
                  <w:szCs w:val="20"/>
                </w:rPr>
                <w:t xml:space="preserve">DFAT </w:t>
              </w:r>
              <w:r w:rsidR="00597CEC" w:rsidRPr="00597CEC">
                <w:rPr>
                  <w:rStyle w:val="Hyperlink"/>
                  <w:rFonts w:asciiTheme="minorHAnsi" w:hAnsiTheme="minorHAnsi" w:cstheme="minorHAnsi"/>
                  <w:sz w:val="20"/>
                  <w:szCs w:val="20"/>
                </w:rPr>
                <w:t>Tier 2 Technical Notes</w:t>
              </w:r>
            </w:hyperlink>
            <w:r w:rsidR="00597CEC">
              <w:rPr>
                <w:rStyle w:val="cf01"/>
                <w:rFonts w:asciiTheme="minorHAnsi" w:hAnsiTheme="minorHAnsi" w:cstheme="minorHAnsi"/>
                <w:sz w:val="20"/>
                <w:szCs w:val="20"/>
              </w:rPr>
              <w:t xml:space="preserve"> </w:t>
            </w:r>
            <w:r w:rsidR="00F05F34" w:rsidRPr="00B0454C">
              <w:rPr>
                <w:rStyle w:val="cf01"/>
                <w:rFonts w:asciiTheme="minorHAnsi" w:hAnsiTheme="minorHAnsi" w:cstheme="minorHAnsi"/>
                <w:sz w:val="20"/>
                <w:szCs w:val="20"/>
              </w:rPr>
              <w:t xml:space="preserve">to determine which indicators you </w:t>
            </w:r>
            <w:r w:rsidR="00805079">
              <w:rPr>
                <w:rStyle w:val="cf01"/>
                <w:rFonts w:asciiTheme="minorHAnsi" w:hAnsiTheme="minorHAnsi" w:cstheme="minorHAnsi"/>
                <w:sz w:val="20"/>
                <w:szCs w:val="20"/>
              </w:rPr>
              <w:t xml:space="preserve">should </w:t>
            </w:r>
            <w:r w:rsidR="00F05F34" w:rsidRPr="00B0454C">
              <w:rPr>
                <w:rStyle w:val="cf01"/>
                <w:rFonts w:asciiTheme="minorHAnsi" w:hAnsiTheme="minorHAnsi" w:cstheme="minorHAnsi"/>
                <w:sz w:val="20"/>
                <w:szCs w:val="20"/>
              </w:rPr>
              <w:t>report against.</w:t>
            </w:r>
          </w:p>
          <w:p w14:paraId="3659F165" w14:textId="45E442B7" w:rsidR="0000177A" w:rsidRPr="007C45C9" w:rsidRDefault="007314B8" w:rsidP="007C45C9">
            <w:pPr>
              <w:spacing w:after="120" w:line="250" w:lineRule="auto"/>
              <w:rPr>
                <w:rFonts w:cstheme="minorHAnsi"/>
                <w:color w:val="000000" w:themeColor="text1"/>
                <w:sz w:val="20"/>
                <w:szCs w:val="20"/>
              </w:rPr>
            </w:pPr>
            <w:r w:rsidRPr="007C45C9">
              <w:rPr>
                <w:rFonts w:cstheme="minorHAnsi"/>
                <w:color w:val="000000" w:themeColor="text1"/>
                <w:sz w:val="20"/>
                <w:szCs w:val="20"/>
              </w:rPr>
              <w:t xml:space="preserve">Please select all the </w:t>
            </w:r>
            <w:r w:rsidR="00F57862" w:rsidRPr="007C45C9">
              <w:rPr>
                <w:rFonts w:cstheme="minorHAnsi"/>
                <w:color w:val="000000" w:themeColor="text1"/>
                <w:sz w:val="20"/>
                <w:szCs w:val="20"/>
              </w:rPr>
              <w:t>Tier 2</w:t>
            </w:r>
            <w:r w:rsidRPr="007C45C9">
              <w:rPr>
                <w:rFonts w:cstheme="minorHAnsi"/>
                <w:color w:val="000000" w:themeColor="text1"/>
                <w:sz w:val="20"/>
                <w:szCs w:val="20"/>
              </w:rPr>
              <w:t xml:space="preserve"> indicators </w:t>
            </w:r>
            <w:r w:rsidR="00F57862" w:rsidRPr="007C45C9">
              <w:rPr>
                <w:rFonts w:cstheme="minorHAnsi"/>
                <w:color w:val="000000" w:themeColor="text1"/>
                <w:sz w:val="20"/>
                <w:szCs w:val="20"/>
              </w:rPr>
              <w:t xml:space="preserve">relevant to </w:t>
            </w:r>
            <w:r w:rsidRPr="007C45C9">
              <w:rPr>
                <w:rFonts w:cstheme="minorHAnsi"/>
                <w:color w:val="000000" w:themeColor="text1"/>
                <w:sz w:val="20"/>
                <w:szCs w:val="20"/>
              </w:rPr>
              <w:t xml:space="preserve">your project. </w:t>
            </w:r>
            <w:r w:rsidR="002C1291">
              <w:rPr>
                <w:rFonts w:cstheme="minorHAnsi"/>
                <w:color w:val="000000" w:themeColor="text1"/>
                <w:sz w:val="20"/>
                <w:szCs w:val="20"/>
              </w:rPr>
              <w:t>Confirm your selection with your Program Manager. To input into the form</w:t>
            </w:r>
            <w:r w:rsidR="00AB4835">
              <w:rPr>
                <w:rFonts w:cstheme="minorHAnsi"/>
                <w:color w:val="000000" w:themeColor="text1"/>
                <w:sz w:val="20"/>
                <w:szCs w:val="20"/>
              </w:rPr>
              <w:t>,</w:t>
            </w:r>
            <w:r w:rsidR="002C1291">
              <w:rPr>
                <w:rFonts w:cstheme="minorHAnsi"/>
                <w:color w:val="000000" w:themeColor="text1"/>
                <w:sz w:val="20"/>
                <w:szCs w:val="20"/>
              </w:rPr>
              <w:t xml:space="preserve"> s</w:t>
            </w:r>
            <w:r w:rsidRPr="007C45C9">
              <w:rPr>
                <w:rFonts w:cstheme="minorHAnsi"/>
                <w:color w:val="000000" w:themeColor="text1"/>
                <w:sz w:val="20"/>
                <w:szCs w:val="20"/>
              </w:rPr>
              <w:t xml:space="preserve">elect the </w:t>
            </w:r>
            <w:r w:rsidR="001C5F90" w:rsidRPr="007C45C9">
              <w:rPr>
                <w:rFonts w:cstheme="minorHAnsi"/>
                <w:color w:val="000000" w:themeColor="text1"/>
                <w:sz w:val="20"/>
                <w:szCs w:val="20"/>
              </w:rPr>
              <w:t>relevant category</w:t>
            </w:r>
            <w:r w:rsidR="00C93FEB" w:rsidRPr="007C45C9">
              <w:rPr>
                <w:rFonts w:cstheme="minorHAnsi"/>
                <w:color w:val="000000" w:themeColor="text1"/>
                <w:sz w:val="20"/>
                <w:szCs w:val="20"/>
              </w:rPr>
              <w:t xml:space="preserve"> (see above)</w:t>
            </w:r>
            <w:r w:rsidR="001C5F90" w:rsidRPr="007C45C9">
              <w:rPr>
                <w:rFonts w:cstheme="minorHAnsi"/>
                <w:color w:val="000000" w:themeColor="text1"/>
                <w:sz w:val="20"/>
                <w:szCs w:val="20"/>
              </w:rPr>
              <w:t xml:space="preserve"> </w:t>
            </w:r>
            <w:r w:rsidRPr="007C45C9">
              <w:rPr>
                <w:rFonts w:cstheme="minorHAnsi"/>
                <w:color w:val="000000" w:themeColor="text1"/>
                <w:sz w:val="20"/>
                <w:szCs w:val="20"/>
              </w:rPr>
              <w:t xml:space="preserve">from the drop-down </w:t>
            </w:r>
            <w:r w:rsidR="00C93FEB" w:rsidRPr="007C45C9">
              <w:rPr>
                <w:rFonts w:cstheme="minorHAnsi"/>
                <w:color w:val="000000" w:themeColor="text1"/>
                <w:sz w:val="20"/>
                <w:szCs w:val="20"/>
              </w:rPr>
              <w:t>menu.</w:t>
            </w:r>
            <w:r w:rsidR="001C5F90" w:rsidRPr="007C45C9">
              <w:rPr>
                <w:rFonts w:cstheme="minorHAnsi"/>
                <w:color w:val="000000" w:themeColor="text1"/>
                <w:sz w:val="20"/>
                <w:szCs w:val="20"/>
              </w:rPr>
              <w:t xml:space="preserve"> This will </w:t>
            </w:r>
            <w:r w:rsidR="00115ECD" w:rsidRPr="007C45C9">
              <w:rPr>
                <w:rFonts w:cstheme="minorHAnsi"/>
                <w:color w:val="000000" w:themeColor="text1"/>
                <w:sz w:val="20"/>
                <w:szCs w:val="20"/>
              </w:rPr>
              <w:t xml:space="preserve">then </w:t>
            </w:r>
            <w:r w:rsidR="001C5F90" w:rsidRPr="007C45C9">
              <w:rPr>
                <w:rFonts w:cstheme="minorHAnsi"/>
                <w:color w:val="000000" w:themeColor="text1"/>
                <w:sz w:val="20"/>
                <w:szCs w:val="20"/>
              </w:rPr>
              <w:t xml:space="preserve">prompt you to </w:t>
            </w:r>
            <w:r w:rsidRPr="007C45C9">
              <w:rPr>
                <w:rFonts w:cstheme="minorHAnsi"/>
                <w:color w:val="000000" w:themeColor="text1"/>
                <w:sz w:val="20"/>
                <w:szCs w:val="20"/>
              </w:rPr>
              <w:t>select the related indicator.</w:t>
            </w:r>
          </w:p>
          <w:p w14:paraId="66916E1C" w14:textId="77777777" w:rsidR="0000177A" w:rsidRDefault="0000177A" w:rsidP="007C45C9">
            <w:pPr>
              <w:spacing w:after="120" w:line="250" w:lineRule="auto"/>
              <w:rPr>
                <w:rFonts w:cstheme="minorHAnsi"/>
                <w:color w:val="000000" w:themeColor="text1"/>
                <w:sz w:val="20"/>
                <w:szCs w:val="20"/>
              </w:rPr>
            </w:pPr>
            <w:r w:rsidRPr="007C45C9">
              <w:rPr>
                <w:rFonts w:cstheme="minorHAnsi"/>
                <w:color w:val="000000" w:themeColor="text1"/>
                <w:sz w:val="20"/>
                <w:szCs w:val="20"/>
              </w:rPr>
              <w:t>You can only add / select one indicator at a time. Please use the ‘+’ to add more indicators.</w:t>
            </w:r>
          </w:p>
          <w:p w14:paraId="74209415" w14:textId="77777777" w:rsidR="006B419C" w:rsidRDefault="006B419C" w:rsidP="007C45C9">
            <w:pPr>
              <w:spacing w:after="120" w:line="250" w:lineRule="auto"/>
              <w:rPr>
                <w:rFonts w:cstheme="minorHAnsi"/>
                <w:color w:val="000000" w:themeColor="text1"/>
                <w:sz w:val="20"/>
                <w:szCs w:val="20"/>
              </w:rPr>
            </w:pPr>
          </w:p>
          <w:p w14:paraId="719EAD89" w14:textId="61C8BBD2" w:rsidR="006B419C" w:rsidRPr="007C45C9" w:rsidRDefault="006B419C" w:rsidP="007C45C9">
            <w:pPr>
              <w:spacing w:after="120" w:line="250" w:lineRule="auto"/>
              <w:rPr>
                <w:rFonts w:cstheme="minorHAnsi"/>
                <w:color w:val="000000" w:themeColor="text1"/>
                <w:sz w:val="20"/>
                <w:szCs w:val="20"/>
              </w:rPr>
            </w:pPr>
          </w:p>
        </w:tc>
      </w:tr>
      <w:tr w:rsidR="00AA1814" w14:paraId="45E8FB77" w14:textId="77777777" w:rsidTr="0E2DE7DC">
        <w:tc>
          <w:tcPr>
            <w:tcW w:w="9493" w:type="dxa"/>
            <w:gridSpan w:val="2"/>
            <w:shd w:val="clear" w:color="auto" w:fill="EDEDED" w:themeFill="accent3" w:themeFillTint="33"/>
          </w:tcPr>
          <w:p w14:paraId="66437B95" w14:textId="6179B8F9" w:rsidR="00AA1814" w:rsidRPr="00D15B1C" w:rsidRDefault="00AA1814" w:rsidP="00AA1814">
            <w:pPr>
              <w:jc w:val="center"/>
              <w:rPr>
                <w:rFonts w:cstheme="minorHAnsi"/>
                <w:b/>
                <w:color w:val="000000" w:themeColor="text1"/>
                <w:sz w:val="20"/>
                <w:szCs w:val="20"/>
              </w:rPr>
            </w:pPr>
            <w:r w:rsidRPr="00D15B1C">
              <w:rPr>
                <w:rFonts w:cstheme="minorHAnsi"/>
                <w:b/>
                <w:color w:val="000000" w:themeColor="text1"/>
                <w:sz w:val="20"/>
                <w:szCs w:val="20"/>
              </w:rPr>
              <w:lastRenderedPageBreak/>
              <w:t>Page 3</w:t>
            </w:r>
            <w:r w:rsidR="007B0D59" w:rsidRPr="00D15B1C">
              <w:rPr>
                <w:rFonts w:cstheme="minorHAnsi"/>
                <w:b/>
                <w:bCs/>
                <w:color w:val="000000" w:themeColor="text1"/>
                <w:sz w:val="20"/>
                <w:szCs w:val="20"/>
              </w:rPr>
              <w:t xml:space="preserve"> –</w:t>
            </w:r>
            <w:r w:rsidR="00612CCE" w:rsidRPr="00D15B1C">
              <w:rPr>
                <w:rFonts w:cstheme="minorHAnsi"/>
                <w:b/>
                <w:color w:val="000000" w:themeColor="text1"/>
                <w:sz w:val="20"/>
                <w:szCs w:val="20"/>
              </w:rPr>
              <w:t xml:space="preserve"> Attachments</w:t>
            </w:r>
          </w:p>
        </w:tc>
      </w:tr>
      <w:tr w:rsidR="00AA1814" w14:paraId="27D87DB4" w14:textId="77777777" w:rsidTr="0E2DE7DC">
        <w:tc>
          <w:tcPr>
            <w:tcW w:w="1696" w:type="dxa"/>
          </w:tcPr>
          <w:p w14:paraId="63219D9D" w14:textId="5EA096A3" w:rsidR="00AA1814" w:rsidRPr="00AC5728" w:rsidRDefault="00612CCE" w:rsidP="00BA72C6">
            <w:pPr>
              <w:spacing w:after="120" w:line="250" w:lineRule="auto"/>
              <w:rPr>
                <w:rFonts w:cstheme="minorHAnsi"/>
                <w:b/>
                <w:bCs/>
                <w:color w:val="000000" w:themeColor="text1"/>
                <w:sz w:val="20"/>
                <w:szCs w:val="20"/>
              </w:rPr>
            </w:pPr>
            <w:r w:rsidRPr="00AC5728">
              <w:rPr>
                <w:rFonts w:cstheme="minorHAnsi"/>
                <w:b/>
                <w:bCs/>
                <w:color w:val="000000" w:themeColor="text1"/>
                <w:sz w:val="20"/>
                <w:szCs w:val="20"/>
              </w:rPr>
              <w:t>Attachments</w:t>
            </w:r>
          </w:p>
        </w:tc>
        <w:tc>
          <w:tcPr>
            <w:tcW w:w="7797" w:type="dxa"/>
          </w:tcPr>
          <w:p w14:paraId="26FDC94F" w14:textId="0A9E8156" w:rsidR="00645D24" w:rsidRPr="00AC5728" w:rsidRDefault="007931A3" w:rsidP="00BA72C6">
            <w:pPr>
              <w:spacing w:after="120" w:line="250" w:lineRule="auto"/>
              <w:rPr>
                <w:rFonts w:cstheme="minorHAnsi"/>
                <w:color w:val="000000" w:themeColor="text1"/>
                <w:sz w:val="20"/>
                <w:szCs w:val="20"/>
              </w:rPr>
            </w:pPr>
            <w:r w:rsidRPr="00AC5728">
              <w:rPr>
                <w:rFonts w:cstheme="minorHAnsi"/>
                <w:color w:val="000000" w:themeColor="text1"/>
                <w:sz w:val="20"/>
                <w:szCs w:val="20"/>
              </w:rPr>
              <w:t>A</w:t>
            </w:r>
            <w:r w:rsidR="005C7454" w:rsidRPr="00AC5728">
              <w:rPr>
                <w:rFonts w:cstheme="minorHAnsi"/>
                <w:color w:val="000000" w:themeColor="text1"/>
                <w:sz w:val="20"/>
                <w:szCs w:val="20"/>
              </w:rPr>
              <w:t xml:space="preserve">ttach key project documents </w:t>
            </w:r>
            <w:r w:rsidR="003D1157" w:rsidRPr="00AC5728">
              <w:rPr>
                <w:rFonts w:cstheme="minorHAnsi"/>
                <w:color w:val="000000" w:themeColor="text1"/>
                <w:sz w:val="20"/>
                <w:szCs w:val="20"/>
              </w:rPr>
              <w:t xml:space="preserve">including </w:t>
            </w:r>
            <w:r w:rsidR="00423886">
              <w:rPr>
                <w:rFonts w:cstheme="minorHAnsi"/>
                <w:color w:val="000000" w:themeColor="text1"/>
                <w:sz w:val="20"/>
                <w:szCs w:val="20"/>
              </w:rPr>
              <w:t xml:space="preserve">your </w:t>
            </w:r>
            <w:r w:rsidRPr="00AC5728">
              <w:rPr>
                <w:rFonts w:cstheme="minorHAnsi"/>
                <w:color w:val="000000" w:themeColor="text1"/>
                <w:sz w:val="20"/>
                <w:szCs w:val="20"/>
              </w:rPr>
              <w:t>MEL Plan</w:t>
            </w:r>
            <w:r w:rsidR="003973DC" w:rsidRPr="00AC5728">
              <w:rPr>
                <w:rFonts w:cstheme="minorHAnsi"/>
                <w:color w:val="000000" w:themeColor="text1"/>
                <w:sz w:val="20"/>
                <w:szCs w:val="20"/>
              </w:rPr>
              <w:t xml:space="preserve">, </w:t>
            </w:r>
            <w:r w:rsidR="00885FD1">
              <w:rPr>
                <w:rFonts w:cstheme="minorHAnsi"/>
                <w:color w:val="000000" w:themeColor="text1"/>
                <w:sz w:val="20"/>
                <w:szCs w:val="20"/>
              </w:rPr>
              <w:t xml:space="preserve">MEL Framework, </w:t>
            </w:r>
            <w:r w:rsidR="001408F2" w:rsidRPr="00AC5728">
              <w:rPr>
                <w:rFonts w:cstheme="minorHAnsi"/>
                <w:color w:val="000000" w:themeColor="text1"/>
                <w:sz w:val="20"/>
                <w:szCs w:val="20"/>
              </w:rPr>
              <w:t xml:space="preserve">GEDSI </w:t>
            </w:r>
            <w:r w:rsidR="006A4B38">
              <w:rPr>
                <w:rFonts w:cstheme="minorHAnsi"/>
                <w:color w:val="000000" w:themeColor="text1"/>
                <w:sz w:val="20"/>
                <w:szCs w:val="20"/>
              </w:rPr>
              <w:t xml:space="preserve">Analysis, GEDSI </w:t>
            </w:r>
            <w:r w:rsidR="00C96A99">
              <w:rPr>
                <w:rFonts w:cstheme="minorHAnsi"/>
                <w:color w:val="000000" w:themeColor="text1"/>
                <w:sz w:val="20"/>
                <w:szCs w:val="20"/>
              </w:rPr>
              <w:t xml:space="preserve">Strategy </w:t>
            </w:r>
            <w:r w:rsidR="00022CB4" w:rsidRPr="00D15B1C">
              <w:rPr>
                <w:rFonts w:cstheme="minorHAnsi"/>
                <w:color w:val="000000" w:themeColor="text1"/>
                <w:sz w:val="20"/>
                <w:szCs w:val="20"/>
              </w:rPr>
              <w:t>and/</w:t>
            </w:r>
            <w:r w:rsidR="00C96A99" w:rsidRPr="00D15B1C">
              <w:rPr>
                <w:rFonts w:cstheme="minorHAnsi"/>
                <w:color w:val="000000" w:themeColor="text1"/>
                <w:sz w:val="20"/>
                <w:szCs w:val="20"/>
              </w:rPr>
              <w:t xml:space="preserve">or </w:t>
            </w:r>
            <w:r w:rsidR="00022CB4" w:rsidRPr="00D15B1C">
              <w:rPr>
                <w:rFonts w:cstheme="minorHAnsi"/>
                <w:color w:val="000000" w:themeColor="text1"/>
                <w:sz w:val="20"/>
                <w:szCs w:val="20"/>
              </w:rPr>
              <w:t>Action</w:t>
            </w:r>
            <w:r w:rsidR="00C96A99">
              <w:rPr>
                <w:rFonts w:cstheme="minorHAnsi"/>
                <w:color w:val="000000" w:themeColor="text1"/>
                <w:sz w:val="20"/>
                <w:szCs w:val="20"/>
              </w:rPr>
              <w:t xml:space="preserve"> P</w:t>
            </w:r>
            <w:r w:rsidR="001408F2" w:rsidRPr="00AC5728">
              <w:rPr>
                <w:rFonts w:cstheme="minorHAnsi"/>
                <w:color w:val="000000" w:themeColor="text1"/>
                <w:sz w:val="20"/>
                <w:szCs w:val="20"/>
              </w:rPr>
              <w:t xml:space="preserve">lan, </w:t>
            </w:r>
            <w:r w:rsidR="00885FD1">
              <w:rPr>
                <w:rFonts w:cstheme="minorHAnsi"/>
                <w:color w:val="000000" w:themeColor="text1"/>
                <w:sz w:val="20"/>
                <w:szCs w:val="20"/>
              </w:rPr>
              <w:t xml:space="preserve">Risk Management Plan, Risk Register, </w:t>
            </w:r>
            <w:r w:rsidR="001408F2" w:rsidRPr="00AC5728">
              <w:rPr>
                <w:rFonts w:cstheme="minorHAnsi"/>
                <w:color w:val="000000" w:themeColor="text1"/>
                <w:sz w:val="20"/>
                <w:szCs w:val="20"/>
              </w:rPr>
              <w:t>b</w:t>
            </w:r>
            <w:r w:rsidR="003973DC" w:rsidRPr="00AC5728">
              <w:rPr>
                <w:rFonts w:cstheme="minorHAnsi"/>
                <w:color w:val="000000" w:themeColor="text1"/>
                <w:sz w:val="20"/>
                <w:szCs w:val="20"/>
              </w:rPr>
              <w:t>udget</w:t>
            </w:r>
            <w:r w:rsidR="003D1157" w:rsidRPr="00AC5728">
              <w:rPr>
                <w:rFonts w:cstheme="minorHAnsi"/>
                <w:color w:val="000000" w:themeColor="text1"/>
                <w:sz w:val="20"/>
                <w:szCs w:val="20"/>
              </w:rPr>
              <w:t xml:space="preserve"> and program logic</w:t>
            </w:r>
            <w:r w:rsidR="005C7454" w:rsidRPr="00AC5728">
              <w:rPr>
                <w:rFonts w:cstheme="minorHAnsi"/>
                <w:color w:val="000000" w:themeColor="text1"/>
                <w:sz w:val="20"/>
                <w:szCs w:val="20"/>
              </w:rPr>
              <w:t>.</w:t>
            </w:r>
          </w:p>
          <w:p w14:paraId="6E222C2D" w14:textId="2F4E1FF6" w:rsidR="007C5C3E" w:rsidRPr="00AC5728" w:rsidRDefault="007D623C" w:rsidP="00BA72C6">
            <w:pPr>
              <w:spacing w:after="120" w:line="250" w:lineRule="auto"/>
              <w:rPr>
                <w:rFonts w:cstheme="minorHAnsi"/>
                <w:color w:val="000000" w:themeColor="text1"/>
                <w:sz w:val="20"/>
                <w:szCs w:val="20"/>
              </w:rPr>
            </w:pPr>
            <w:r w:rsidRPr="00AC5728">
              <w:rPr>
                <w:rFonts w:cstheme="minorHAnsi"/>
                <w:color w:val="000000" w:themeColor="text1"/>
                <w:sz w:val="20"/>
                <w:szCs w:val="20"/>
              </w:rPr>
              <w:t>Multiple documents under one heading can be uploaded</w:t>
            </w:r>
            <w:r w:rsidR="007C51D2" w:rsidRPr="00AC5728">
              <w:rPr>
                <w:rFonts w:cstheme="minorHAnsi"/>
                <w:color w:val="000000" w:themeColor="text1"/>
                <w:sz w:val="20"/>
                <w:szCs w:val="20"/>
              </w:rPr>
              <w:t xml:space="preserve">. For </w:t>
            </w:r>
            <w:r w:rsidR="00242604" w:rsidRPr="00AC5728">
              <w:rPr>
                <w:rFonts w:cstheme="minorHAnsi"/>
                <w:color w:val="000000" w:themeColor="text1"/>
                <w:sz w:val="20"/>
                <w:szCs w:val="20"/>
              </w:rPr>
              <w:t>example,</w:t>
            </w:r>
            <w:r w:rsidR="007C51D2" w:rsidRPr="00AC5728">
              <w:rPr>
                <w:rFonts w:cstheme="minorHAnsi"/>
                <w:color w:val="000000" w:themeColor="text1"/>
                <w:sz w:val="20"/>
                <w:szCs w:val="20"/>
              </w:rPr>
              <w:t xml:space="preserve"> if</w:t>
            </w:r>
            <w:r w:rsidR="00742EA7" w:rsidRPr="00AC5728">
              <w:rPr>
                <w:rFonts w:cstheme="minorHAnsi"/>
                <w:color w:val="000000" w:themeColor="text1"/>
                <w:sz w:val="20"/>
                <w:szCs w:val="20"/>
              </w:rPr>
              <w:t xml:space="preserve"> your budget is supported by multiple </w:t>
            </w:r>
            <w:r w:rsidR="00742EA7" w:rsidRPr="00D15B1C">
              <w:rPr>
                <w:rFonts w:cstheme="minorHAnsi"/>
                <w:color w:val="000000" w:themeColor="text1"/>
                <w:sz w:val="20"/>
                <w:szCs w:val="20"/>
              </w:rPr>
              <w:t>doc</w:t>
            </w:r>
            <w:r w:rsidR="0047593F" w:rsidRPr="00D15B1C">
              <w:rPr>
                <w:rFonts w:cstheme="minorHAnsi"/>
                <w:color w:val="000000" w:themeColor="text1"/>
                <w:sz w:val="20"/>
                <w:szCs w:val="20"/>
              </w:rPr>
              <w:t>ument</w:t>
            </w:r>
            <w:r w:rsidR="00742EA7" w:rsidRPr="00D15B1C">
              <w:rPr>
                <w:rFonts w:cstheme="minorHAnsi"/>
                <w:color w:val="000000" w:themeColor="text1"/>
                <w:sz w:val="20"/>
                <w:szCs w:val="20"/>
              </w:rPr>
              <w:t>s,</w:t>
            </w:r>
            <w:r w:rsidRPr="00AC5728">
              <w:rPr>
                <w:rFonts w:cstheme="minorHAnsi"/>
                <w:color w:val="000000" w:themeColor="text1"/>
                <w:sz w:val="20"/>
                <w:szCs w:val="20"/>
              </w:rPr>
              <w:t xml:space="preserve"> </w:t>
            </w:r>
            <w:r w:rsidR="00212F87" w:rsidRPr="00AC5728">
              <w:rPr>
                <w:rFonts w:cstheme="minorHAnsi"/>
                <w:color w:val="000000" w:themeColor="text1"/>
                <w:sz w:val="20"/>
                <w:szCs w:val="20"/>
              </w:rPr>
              <w:t xml:space="preserve">simply </w:t>
            </w:r>
            <w:r w:rsidR="00B46C8D" w:rsidRPr="00AC5728">
              <w:rPr>
                <w:rFonts w:cstheme="minorHAnsi"/>
                <w:color w:val="000000" w:themeColor="text1"/>
                <w:sz w:val="20"/>
                <w:szCs w:val="20"/>
              </w:rPr>
              <w:t xml:space="preserve">mark all documents you wish to upload and </w:t>
            </w:r>
            <w:r w:rsidR="00533FB0" w:rsidRPr="00AC5728">
              <w:rPr>
                <w:rFonts w:cstheme="minorHAnsi"/>
                <w:color w:val="000000" w:themeColor="text1"/>
                <w:sz w:val="20"/>
                <w:szCs w:val="20"/>
              </w:rPr>
              <w:t xml:space="preserve">then press </w:t>
            </w:r>
            <w:r w:rsidR="00212F87" w:rsidRPr="00AC5728">
              <w:rPr>
                <w:rFonts w:cstheme="minorHAnsi"/>
                <w:color w:val="000000" w:themeColor="text1"/>
                <w:sz w:val="20"/>
                <w:szCs w:val="20"/>
              </w:rPr>
              <w:t>‘</w:t>
            </w:r>
            <w:r w:rsidR="00533FB0" w:rsidRPr="00AC5728">
              <w:rPr>
                <w:rFonts w:cstheme="minorHAnsi"/>
                <w:color w:val="000000" w:themeColor="text1"/>
                <w:sz w:val="20"/>
                <w:szCs w:val="20"/>
              </w:rPr>
              <w:t xml:space="preserve">upload </w:t>
            </w:r>
            <w:r w:rsidR="00533FB0" w:rsidRPr="00D15B1C">
              <w:rPr>
                <w:rFonts w:cstheme="minorHAnsi"/>
                <w:color w:val="000000" w:themeColor="text1"/>
                <w:sz w:val="20"/>
                <w:szCs w:val="20"/>
              </w:rPr>
              <w:t>document</w:t>
            </w:r>
            <w:r w:rsidR="0047593F" w:rsidRPr="00D15B1C">
              <w:rPr>
                <w:rFonts w:cstheme="minorHAnsi"/>
                <w:color w:val="000000" w:themeColor="text1"/>
                <w:sz w:val="20"/>
                <w:szCs w:val="20"/>
              </w:rPr>
              <w:t>’</w:t>
            </w:r>
            <w:r w:rsidR="00533FB0" w:rsidRPr="00D15B1C">
              <w:rPr>
                <w:rFonts w:cstheme="minorHAnsi"/>
                <w:color w:val="000000" w:themeColor="text1"/>
                <w:sz w:val="20"/>
                <w:szCs w:val="20"/>
              </w:rPr>
              <w:t>.</w:t>
            </w:r>
          </w:p>
          <w:p w14:paraId="1BA86FDF" w14:textId="2C822440" w:rsidR="003612F8" w:rsidRPr="00D15B1C" w:rsidRDefault="00860324" w:rsidP="08E434CB">
            <w:pPr>
              <w:spacing w:after="120" w:line="250" w:lineRule="auto"/>
              <w:rPr>
                <w:rFonts w:cstheme="minorHAnsi"/>
                <w:color w:val="000000" w:themeColor="text1"/>
                <w:sz w:val="20"/>
                <w:szCs w:val="20"/>
              </w:rPr>
            </w:pPr>
            <w:r w:rsidRPr="00D15B1C">
              <w:rPr>
                <w:rFonts w:cstheme="minorHAnsi"/>
                <w:color w:val="000000" w:themeColor="text1"/>
                <w:sz w:val="20"/>
                <w:szCs w:val="20"/>
              </w:rPr>
              <w:t xml:space="preserve">Documents that are not yet finalised </w:t>
            </w:r>
            <w:r w:rsidR="00F21EA3" w:rsidRPr="00D15B1C">
              <w:rPr>
                <w:rFonts w:cstheme="minorHAnsi"/>
                <w:color w:val="000000" w:themeColor="text1"/>
                <w:sz w:val="20"/>
                <w:szCs w:val="20"/>
              </w:rPr>
              <w:t xml:space="preserve">do not need to be attached. They </w:t>
            </w:r>
            <w:r w:rsidRPr="00D15B1C">
              <w:rPr>
                <w:rFonts w:cstheme="minorHAnsi"/>
                <w:color w:val="000000" w:themeColor="text1"/>
                <w:sz w:val="20"/>
                <w:szCs w:val="20"/>
              </w:rPr>
              <w:t>can be attached</w:t>
            </w:r>
            <w:r w:rsidR="006B131F" w:rsidRPr="00D15B1C">
              <w:rPr>
                <w:rFonts w:cstheme="minorHAnsi"/>
                <w:color w:val="000000" w:themeColor="text1"/>
                <w:sz w:val="20"/>
                <w:szCs w:val="20"/>
              </w:rPr>
              <w:t xml:space="preserve"> at a later date</w:t>
            </w:r>
            <w:r w:rsidRPr="00D15B1C">
              <w:rPr>
                <w:rFonts w:cstheme="minorHAnsi"/>
                <w:color w:val="000000" w:themeColor="text1"/>
                <w:sz w:val="20"/>
                <w:szCs w:val="20"/>
              </w:rPr>
              <w:t xml:space="preserve"> </w:t>
            </w:r>
            <w:r w:rsidR="006B131F" w:rsidRPr="00D15B1C">
              <w:rPr>
                <w:rFonts w:cstheme="minorHAnsi"/>
                <w:color w:val="000000" w:themeColor="text1"/>
                <w:sz w:val="20"/>
                <w:szCs w:val="20"/>
              </w:rPr>
              <w:t xml:space="preserve">by uploading them to the </w:t>
            </w:r>
            <w:r w:rsidR="007207A5" w:rsidRPr="00D15B1C">
              <w:rPr>
                <w:rFonts w:cstheme="minorHAnsi"/>
                <w:color w:val="000000" w:themeColor="text1"/>
                <w:sz w:val="20"/>
                <w:szCs w:val="20"/>
              </w:rPr>
              <w:t>A</w:t>
            </w:r>
            <w:r w:rsidR="00F21EA3" w:rsidRPr="00D15B1C">
              <w:rPr>
                <w:rFonts w:cstheme="minorHAnsi"/>
                <w:color w:val="000000" w:themeColor="text1"/>
                <w:sz w:val="20"/>
                <w:szCs w:val="20"/>
              </w:rPr>
              <w:t xml:space="preserve">nnual or </w:t>
            </w:r>
            <w:r w:rsidR="007207A5" w:rsidRPr="00D15B1C">
              <w:rPr>
                <w:rFonts w:cstheme="minorHAnsi"/>
                <w:color w:val="000000" w:themeColor="text1"/>
                <w:sz w:val="20"/>
                <w:szCs w:val="20"/>
              </w:rPr>
              <w:t>S</w:t>
            </w:r>
            <w:r w:rsidR="00F21EA3" w:rsidRPr="00D15B1C">
              <w:rPr>
                <w:rFonts w:cstheme="minorHAnsi"/>
                <w:color w:val="000000" w:themeColor="text1"/>
                <w:sz w:val="20"/>
                <w:szCs w:val="20"/>
              </w:rPr>
              <w:t xml:space="preserve">ix-month Partner Update </w:t>
            </w:r>
            <w:r w:rsidR="00B54D09">
              <w:rPr>
                <w:rFonts w:cstheme="minorHAnsi"/>
                <w:color w:val="000000" w:themeColor="text1"/>
                <w:sz w:val="20"/>
                <w:szCs w:val="20"/>
              </w:rPr>
              <w:t>Forms.</w:t>
            </w:r>
          </w:p>
        </w:tc>
      </w:tr>
    </w:tbl>
    <w:p w14:paraId="2856FF09" w14:textId="77777777" w:rsidR="00E416F7" w:rsidRDefault="00E416F7" w:rsidP="00C30252">
      <w:pPr>
        <w:rPr>
          <w:sz w:val="32"/>
          <w:szCs w:val="32"/>
        </w:rPr>
      </w:pPr>
    </w:p>
    <w:p w14:paraId="1C3C9CE3" w14:textId="0174BFCB" w:rsidR="00861571" w:rsidRPr="004B1C7F" w:rsidRDefault="00C30252" w:rsidP="004D051C">
      <w:pPr>
        <w:pStyle w:val="Heading2"/>
        <w:spacing w:after="100"/>
        <w:rPr>
          <w:b/>
          <w:sz w:val="32"/>
          <w:szCs w:val="32"/>
        </w:rPr>
      </w:pPr>
      <w:r w:rsidRPr="004B1C7F">
        <w:rPr>
          <w:b/>
          <w:sz w:val="32"/>
          <w:szCs w:val="32"/>
        </w:rPr>
        <w:t xml:space="preserve">Annex 1: </w:t>
      </w:r>
      <w:r w:rsidR="00861571" w:rsidRPr="004B1C7F">
        <w:rPr>
          <w:b/>
          <w:sz w:val="32"/>
          <w:szCs w:val="32"/>
        </w:rPr>
        <w:t xml:space="preserve">Partnerships for a Healthy Region (PHR) </w:t>
      </w:r>
      <w:r w:rsidR="00197B25" w:rsidRPr="004B1C7F">
        <w:rPr>
          <w:b/>
          <w:sz w:val="32"/>
          <w:szCs w:val="32"/>
        </w:rPr>
        <w:t>Common Indicators</w:t>
      </w:r>
    </w:p>
    <w:p w14:paraId="5C5B7253" w14:textId="77777777" w:rsidR="00861571" w:rsidRPr="00D15B1C" w:rsidRDefault="00861571" w:rsidP="00A14697">
      <w:pPr>
        <w:rPr>
          <w:b/>
          <w:sz w:val="20"/>
          <w:szCs w:val="20"/>
        </w:rPr>
      </w:pPr>
      <w:r w:rsidRPr="00D15B1C">
        <w:rPr>
          <w:b/>
          <w:sz w:val="20"/>
          <w:szCs w:val="20"/>
        </w:rPr>
        <w:t>Notes on PHR common indicators</w:t>
      </w:r>
    </w:p>
    <w:p w14:paraId="3B3DCD65" w14:textId="05AEAC93" w:rsidR="00861571" w:rsidRPr="00D15B1C" w:rsidRDefault="00861571" w:rsidP="00861571">
      <w:pPr>
        <w:pStyle w:val="ListParagraph"/>
        <w:numPr>
          <w:ilvl w:val="0"/>
          <w:numId w:val="9"/>
        </w:numPr>
        <w:rPr>
          <w:rFonts w:cstheme="minorHAnsi"/>
          <w:sz w:val="20"/>
          <w:szCs w:val="20"/>
        </w:rPr>
      </w:pPr>
      <w:r w:rsidRPr="00D15B1C">
        <w:rPr>
          <w:rFonts w:cstheme="minorHAnsi"/>
          <w:sz w:val="20"/>
          <w:szCs w:val="20"/>
        </w:rPr>
        <w:t>This list provides high-level PHR indicators for use by implementing partners. They are organised by PHR cross</w:t>
      </w:r>
      <w:r w:rsidR="00C47D45">
        <w:rPr>
          <w:rFonts w:cstheme="minorHAnsi"/>
          <w:sz w:val="20"/>
          <w:szCs w:val="20"/>
        </w:rPr>
        <w:t>-</w:t>
      </w:r>
      <w:r w:rsidRPr="00D15B1C">
        <w:rPr>
          <w:rFonts w:cstheme="minorHAnsi"/>
          <w:sz w:val="20"/>
          <w:szCs w:val="20"/>
        </w:rPr>
        <w:t>cutting priorities, End of Program Outcomes (EOPOs) and Intermediate Outcomes (IOs).</w:t>
      </w:r>
    </w:p>
    <w:p w14:paraId="2EE99E3D" w14:textId="6000AD3D" w:rsidR="00861571" w:rsidRPr="00D15B1C" w:rsidRDefault="00861571" w:rsidP="00861571">
      <w:pPr>
        <w:pStyle w:val="ListParagraph"/>
        <w:numPr>
          <w:ilvl w:val="0"/>
          <w:numId w:val="9"/>
        </w:numPr>
        <w:rPr>
          <w:rFonts w:cstheme="minorHAnsi"/>
          <w:sz w:val="20"/>
          <w:szCs w:val="20"/>
        </w:rPr>
      </w:pPr>
      <w:r w:rsidRPr="00D15B1C">
        <w:rPr>
          <w:rFonts w:cstheme="minorHAnsi"/>
          <w:sz w:val="20"/>
          <w:szCs w:val="20"/>
        </w:rPr>
        <w:t>All indicators refer to where Australian support has contributed to the change.</w:t>
      </w:r>
    </w:p>
    <w:p w14:paraId="39B8B870" w14:textId="104A1674" w:rsidR="00861571" w:rsidRPr="00D15B1C" w:rsidRDefault="00861571" w:rsidP="00861571">
      <w:pPr>
        <w:pStyle w:val="ListParagraph"/>
        <w:numPr>
          <w:ilvl w:val="0"/>
          <w:numId w:val="9"/>
        </w:numPr>
        <w:rPr>
          <w:rFonts w:cstheme="minorHAnsi"/>
          <w:sz w:val="20"/>
          <w:szCs w:val="20"/>
        </w:rPr>
      </w:pPr>
      <w:r w:rsidRPr="00D15B1C">
        <w:rPr>
          <w:rFonts w:cstheme="minorHAnsi"/>
          <w:sz w:val="20"/>
          <w:szCs w:val="20"/>
        </w:rPr>
        <w:t xml:space="preserve">DFAT utilises a three-tier indicator framework, presenting </w:t>
      </w:r>
      <w:r w:rsidR="004C6A1E" w:rsidRPr="00D15B1C">
        <w:rPr>
          <w:rFonts w:cstheme="minorHAnsi"/>
          <w:sz w:val="20"/>
          <w:szCs w:val="20"/>
        </w:rPr>
        <w:t xml:space="preserve">the </w:t>
      </w:r>
      <w:r w:rsidRPr="00D15B1C">
        <w:rPr>
          <w:rFonts w:cstheme="minorHAnsi"/>
          <w:sz w:val="20"/>
          <w:szCs w:val="20"/>
        </w:rPr>
        <w:t>latest data for regional development indicators (Tier 1), results against selected indicators of Australian development assistance (Tier 2)</w:t>
      </w:r>
      <w:r w:rsidR="007A5866" w:rsidRPr="00D15B1C">
        <w:rPr>
          <w:rFonts w:cstheme="minorHAnsi"/>
          <w:sz w:val="20"/>
          <w:szCs w:val="20"/>
        </w:rPr>
        <w:t>,</w:t>
      </w:r>
      <w:r w:rsidRPr="00D15B1C">
        <w:rPr>
          <w:rFonts w:cstheme="minorHAnsi"/>
          <w:sz w:val="20"/>
          <w:szCs w:val="20"/>
        </w:rPr>
        <w:t xml:space="preserve"> and organisational effectiveness/ways of working (Tier 3)</w:t>
      </w:r>
      <w:r w:rsidR="007A5866" w:rsidRPr="00D15B1C">
        <w:rPr>
          <w:rFonts w:cstheme="minorHAnsi"/>
          <w:sz w:val="20"/>
          <w:szCs w:val="20"/>
        </w:rPr>
        <w:t>. S</w:t>
      </w:r>
      <w:r w:rsidRPr="00D15B1C">
        <w:rPr>
          <w:rFonts w:cstheme="minorHAnsi"/>
          <w:sz w:val="20"/>
          <w:szCs w:val="20"/>
        </w:rPr>
        <w:t xml:space="preserve">ee </w:t>
      </w:r>
      <w:hyperlink r:id="rId13">
        <w:r w:rsidRPr="00D15B1C">
          <w:rPr>
            <w:rStyle w:val="Hyperlink"/>
            <w:rFonts w:cstheme="minorHAnsi"/>
            <w:sz w:val="20"/>
            <w:szCs w:val="20"/>
          </w:rPr>
          <w:t>Australia’s Development-Policy Performance and Delivery Framework</w:t>
        </w:r>
      </w:hyperlink>
      <w:r w:rsidRPr="00D15B1C">
        <w:rPr>
          <w:rFonts w:cstheme="minorHAnsi"/>
          <w:sz w:val="20"/>
          <w:szCs w:val="20"/>
        </w:rPr>
        <w:t xml:space="preserve"> for details</w:t>
      </w:r>
      <w:r w:rsidR="007A5866" w:rsidRPr="00D15B1C">
        <w:rPr>
          <w:rFonts w:cstheme="minorHAnsi"/>
          <w:sz w:val="20"/>
          <w:szCs w:val="20"/>
        </w:rPr>
        <w:t>.</w:t>
      </w:r>
    </w:p>
    <w:p w14:paraId="580994B4" w14:textId="262F09D0" w:rsidR="00861571" w:rsidRPr="00D15B1C" w:rsidRDefault="00861571" w:rsidP="004E178C">
      <w:pPr>
        <w:pStyle w:val="ListParagraph"/>
        <w:numPr>
          <w:ilvl w:val="0"/>
          <w:numId w:val="9"/>
        </w:numPr>
        <w:rPr>
          <w:rFonts w:cstheme="minorHAnsi"/>
          <w:color w:val="4472C4" w:themeColor="accent1"/>
          <w:sz w:val="20"/>
          <w:szCs w:val="20"/>
        </w:rPr>
      </w:pPr>
      <w:r w:rsidRPr="00D15B1C">
        <w:rPr>
          <w:rFonts w:cstheme="minorHAnsi"/>
          <w:sz w:val="20"/>
          <w:szCs w:val="20"/>
        </w:rPr>
        <w:t xml:space="preserve">Relevant health-related Tier 2 and 3 indicators are included in the list of </w:t>
      </w:r>
      <w:r w:rsidR="00CA780B">
        <w:rPr>
          <w:rFonts w:cstheme="minorHAnsi"/>
          <w:sz w:val="20"/>
          <w:szCs w:val="20"/>
        </w:rPr>
        <w:t xml:space="preserve">PHR </w:t>
      </w:r>
      <w:r w:rsidRPr="00D15B1C">
        <w:rPr>
          <w:rFonts w:cstheme="minorHAnsi"/>
          <w:sz w:val="20"/>
          <w:szCs w:val="20"/>
        </w:rPr>
        <w:t>common indicators (</w:t>
      </w:r>
      <w:r w:rsidR="007963BD">
        <w:rPr>
          <w:rFonts w:cstheme="minorHAnsi"/>
          <w:sz w:val="20"/>
          <w:szCs w:val="20"/>
        </w:rPr>
        <w:t>Part 1</w:t>
      </w:r>
      <w:r w:rsidRPr="00D15B1C">
        <w:rPr>
          <w:rFonts w:cstheme="minorHAnsi"/>
          <w:sz w:val="20"/>
          <w:szCs w:val="20"/>
        </w:rPr>
        <w:t xml:space="preserve">). </w:t>
      </w:r>
      <w:r w:rsidR="007963BD">
        <w:rPr>
          <w:rFonts w:cstheme="minorHAnsi"/>
          <w:sz w:val="20"/>
          <w:szCs w:val="20"/>
        </w:rPr>
        <w:t>Part 2</w:t>
      </w:r>
      <w:r w:rsidRPr="00D15B1C">
        <w:rPr>
          <w:rFonts w:cstheme="minorHAnsi"/>
          <w:sz w:val="20"/>
          <w:szCs w:val="20"/>
        </w:rPr>
        <w:t xml:space="preserve"> of this document includes additional Tier 2 indicators that may be relevant to some p</w:t>
      </w:r>
      <w:r w:rsidR="00387838">
        <w:rPr>
          <w:rFonts w:cstheme="minorHAnsi"/>
          <w:sz w:val="20"/>
          <w:szCs w:val="20"/>
        </w:rPr>
        <w:t>rojects</w:t>
      </w:r>
      <w:r w:rsidRPr="00D15B1C">
        <w:rPr>
          <w:rFonts w:cstheme="minorHAnsi"/>
          <w:sz w:val="20"/>
          <w:szCs w:val="20"/>
        </w:rPr>
        <w:t xml:space="preserve">. </w:t>
      </w:r>
      <w:r w:rsidR="00197B25" w:rsidRPr="00D15B1C">
        <w:rPr>
          <w:rFonts w:cstheme="minorHAnsi"/>
          <w:sz w:val="20"/>
          <w:szCs w:val="20"/>
        </w:rPr>
        <w:t>Technical notes for these indicators are available</w:t>
      </w:r>
      <w:r w:rsidR="00BE4062" w:rsidRPr="00D15B1C">
        <w:rPr>
          <w:rFonts w:cstheme="minorHAnsi"/>
          <w:sz w:val="20"/>
          <w:szCs w:val="20"/>
        </w:rPr>
        <w:t xml:space="preserve"> her</w:t>
      </w:r>
      <w:r w:rsidR="00113821" w:rsidRPr="00D15B1C">
        <w:rPr>
          <w:rFonts w:cstheme="minorHAnsi"/>
          <w:sz w:val="20"/>
          <w:szCs w:val="20"/>
        </w:rPr>
        <w:t xml:space="preserve">e: </w:t>
      </w:r>
      <w:hyperlink r:id="rId14" w:history="1">
        <w:r w:rsidR="00113821" w:rsidRPr="00D15B1C">
          <w:rPr>
            <w:rStyle w:val="Hyperlink"/>
            <w:rFonts w:cstheme="minorHAnsi"/>
            <w:sz w:val="20"/>
            <w:szCs w:val="20"/>
          </w:rPr>
          <w:t>Australia’s Development Program - Tier 2 Results</w:t>
        </w:r>
      </w:hyperlink>
      <w:r w:rsidR="006357FC" w:rsidRPr="00D15B1C">
        <w:rPr>
          <w:rFonts w:cstheme="minorHAnsi"/>
          <w:sz w:val="20"/>
          <w:szCs w:val="20"/>
        </w:rPr>
        <w:t>.</w:t>
      </w:r>
    </w:p>
    <w:p w14:paraId="79D91BB6" w14:textId="77777777" w:rsidR="00743A2C" w:rsidRPr="00D15B1C" w:rsidRDefault="00743A2C" w:rsidP="00743A2C">
      <w:pPr>
        <w:rPr>
          <w:rFonts w:cstheme="minorHAnsi"/>
          <w:color w:val="4472C4" w:themeColor="accent1"/>
          <w:sz w:val="20"/>
          <w:szCs w:val="20"/>
        </w:rPr>
      </w:pPr>
    </w:p>
    <w:p w14:paraId="34AD5B29" w14:textId="7FA896A3" w:rsidR="004D051C" w:rsidRPr="00D15B1C" w:rsidRDefault="00A14697" w:rsidP="00A64EB9">
      <w:pPr>
        <w:rPr>
          <w:rFonts w:cstheme="minorHAnsi"/>
          <w:b/>
          <w:bCs/>
          <w:sz w:val="20"/>
          <w:szCs w:val="20"/>
        </w:rPr>
      </w:pPr>
      <w:r w:rsidRPr="00D15B1C">
        <w:rPr>
          <w:rFonts w:cstheme="minorHAnsi"/>
          <w:b/>
          <w:bCs/>
          <w:sz w:val="20"/>
          <w:szCs w:val="20"/>
        </w:rPr>
        <w:t xml:space="preserve">Part 1: </w:t>
      </w:r>
      <w:r w:rsidR="004D051C" w:rsidRPr="00D15B1C">
        <w:rPr>
          <w:rFonts w:cstheme="minorHAnsi"/>
          <w:b/>
          <w:bCs/>
          <w:sz w:val="20"/>
          <w:szCs w:val="20"/>
        </w:rPr>
        <w:t xml:space="preserve">PHR </w:t>
      </w:r>
      <w:r w:rsidR="006574A8" w:rsidRPr="00D15B1C">
        <w:rPr>
          <w:rFonts w:cstheme="minorHAnsi"/>
          <w:b/>
          <w:bCs/>
          <w:sz w:val="20"/>
          <w:szCs w:val="20"/>
        </w:rPr>
        <w:t>c</w:t>
      </w:r>
      <w:r w:rsidR="004D051C" w:rsidRPr="00D15B1C">
        <w:rPr>
          <w:rFonts w:cstheme="minorHAnsi"/>
          <w:b/>
          <w:bCs/>
          <w:sz w:val="20"/>
          <w:szCs w:val="20"/>
        </w:rPr>
        <w:t xml:space="preserve">ommon </w:t>
      </w:r>
      <w:r w:rsidR="006574A8" w:rsidRPr="00D15B1C">
        <w:rPr>
          <w:rFonts w:cstheme="minorHAnsi"/>
          <w:b/>
          <w:bCs/>
          <w:sz w:val="20"/>
          <w:szCs w:val="20"/>
        </w:rPr>
        <w:t>i</w:t>
      </w:r>
      <w:r w:rsidR="004D051C" w:rsidRPr="00D15B1C">
        <w:rPr>
          <w:rFonts w:cstheme="minorHAnsi"/>
          <w:b/>
          <w:bCs/>
          <w:sz w:val="20"/>
          <w:szCs w:val="20"/>
        </w:rPr>
        <w:t>ndicators</w:t>
      </w:r>
    </w:p>
    <w:tbl>
      <w:tblPr>
        <w:tblStyle w:val="TableGrid"/>
        <w:tblW w:w="0" w:type="auto"/>
        <w:tblLook w:val="04A0" w:firstRow="1" w:lastRow="0" w:firstColumn="1" w:lastColumn="0" w:noHBand="0" w:noVBand="1"/>
      </w:tblPr>
      <w:tblGrid>
        <w:gridCol w:w="4106"/>
        <w:gridCol w:w="4910"/>
      </w:tblGrid>
      <w:tr w:rsidR="00A12586" w:rsidRPr="00D15B1C" w14:paraId="7762E144" w14:textId="77777777" w:rsidTr="00144B4A">
        <w:tc>
          <w:tcPr>
            <w:tcW w:w="4106" w:type="dxa"/>
            <w:shd w:val="clear" w:color="auto" w:fill="12685E"/>
          </w:tcPr>
          <w:p w14:paraId="2C390189" w14:textId="77777777" w:rsidR="00A12586" w:rsidRPr="00D15B1C" w:rsidRDefault="00A12586" w:rsidP="00EF3229">
            <w:pPr>
              <w:rPr>
                <w:rStyle w:val="normaltextrun"/>
                <w:rFonts w:ascii="Calibri" w:hAnsi="Calibri" w:cs="Calibri"/>
                <w:b/>
                <w:bCs/>
                <w:color w:val="FFFFFF" w:themeColor="background1"/>
                <w:sz w:val="20"/>
                <w:szCs w:val="20"/>
                <w:shd w:val="clear" w:color="auto" w:fill="FFFFFF"/>
              </w:rPr>
            </w:pPr>
            <w:r w:rsidRPr="00D15B1C">
              <w:rPr>
                <w:rFonts w:ascii="Calibri" w:hAnsi="Calibri" w:cs="Calibri"/>
                <w:b/>
                <w:bCs/>
                <w:color w:val="FFFFFF" w:themeColor="background1"/>
                <w:sz w:val="20"/>
                <w:szCs w:val="20"/>
              </w:rPr>
              <w:t>Outcomes (EOPOs and IOs)</w:t>
            </w:r>
          </w:p>
        </w:tc>
        <w:tc>
          <w:tcPr>
            <w:tcW w:w="4910" w:type="dxa"/>
            <w:shd w:val="clear" w:color="auto" w:fill="12685E"/>
          </w:tcPr>
          <w:p w14:paraId="21FCB971" w14:textId="77777777" w:rsidR="00A12586" w:rsidRPr="00D15B1C" w:rsidRDefault="00A12586" w:rsidP="00EF3229">
            <w:pPr>
              <w:rPr>
                <w:rStyle w:val="normaltextrun"/>
                <w:rFonts w:ascii="Calibri" w:hAnsi="Calibri" w:cs="Calibri"/>
                <w:b/>
                <w:bCs/>
                <w:color w:val="FFFFFF" w:themeColor="background1"/>
                <w:sz w:val="20"/>
                <w:szCs w:val="20"/>
                <w:shd w:val="clear" w:color="auto" w:fill="FFFFFF"/>
              </w:rPr>
            </w:pPr>
            <w:r w:rsidRPr="00D15B1C">
              <w:rPr>
                <w:rFonts w:ascii="Calibri" w:hAnsi="Calibri" w:cs="Calibri"/>
                <w:b/>
                <w:bCs/>
                <w:color w:val="FFFFFF" w:themeColor="background1"/>
                <w:sz w:val="20"/>
                <w:szCs w:val="20"/>
              </w:rPr>
              <w:t>PHR Common Indicators</w:t>
            </w:r>
          </w:p>
        </w:tc>
      </w:tr>
      <w:tr w:rsidR="00A12586" w:rsidRPr="00D15B1C" w14:paraId="7C0936A7" w14:textId="77777777" w:rsidTr="00EF3229">
        <w:tc>
          <w:tcPr>
            <w:tcW w:w="9016" w:type="dxa"/>
            <w:gridSpan w:val="2"/>
            <w:shd w:val="clear" w:color="auto" w:fill="198F81"/>
          </w:tcPr>
          <w:p w14:paraId="2768D6E7" w14:textId="1CB1B631" w:rsidR="00A12586" w:rsidRPr="00D15B1C" w:rsidRDefault="00A12586" w:rsidP="00EF3229">
            <w:pPr>
              <w:rPr>
                <w:rStyle w:val="normaltextrun"/>
                <w:rFonts w:ascii="Calibri" w:hAnsi="Calibri" w:cs="Calibri"/>
                <w:color w:val="000000"/>
                <w:sz w:val="20"/>
                <w:szCs w:val="20"/>
                <w:shd w:val="clear" w:color="auto" w:fill="FFFFFF"/>
              </w:rPr>
            </w:pPr>
            <w:r w:rsidRPr="00D15B1C">
              <w:rPr>
                <w:rFonts w:ascii="Calibri" w:hAnsi="Calibri" w:cs="Calibri"/>
                <w:b/>
                <w:bCs/>
                <w:color w:val="FFFFFF" w:themeColor="background1"/>
                <w:sz w:val="20"/>
                <w:szCs w:val="20"/>
              </w:rPr>
              <w:t>PHR Cross</w:t>
            </w:r>
            <w:r w:rsidR="00144B4A" w:rsidRPr="00D15B1C">
              <w:rPr>
                <w:rFonts w:ascii="Calibri" w:hAnsi="Calibri" w:cs="Calibri"/>
                <w:b/>
                <w:bCs/>
                <w:color w:val="FFFFFF" w:themeColor="background1"/>
                <w:sz w:val="20"/>
                <w:szCs w:val="20"/>
              </w:rPr>
              <w:t>-</w:t>
            </w:r>
            <w:r w:rsidRPr="00D15B1C">
              <w:rPr>
                <w:rFonts w:ascii="Calibri" w:hAnsi="Calibri" w:cs="Calibri"/>
                <w:b/>
                <w:bCs/>
                <w:color w:val="FFFFFF" w:themeColor="background1"/>
                <w:sz w:val="20"/>
                <w:szCs w:val="20"/>
              </w:rPr>
              <w:t>Cutting Priorities</w:t>
            </w:r>
          </w:p>
        </w:tc>
      </w:tr>
      <w:tr w:rsidR="00A12586" w:rsidRPr="00D15B1C" w14:paraId="02DA5A91" w14:textId="77777777" w:rsidTr="00144B4A">
        <w:tc>
          <w:tcPr>
            <w:tcW w:w="4106" w:type="dxa"/>
            <w:vMerge w:val="restart"/>
          </w:tcPr>
          <w:p w14:paraId="0882A39A" w14:textId="77777777" w:rsidR="00A12586" w:rsidRPr="00D15B1C" w:rsidRDefault="00A12586" w:rsidP="00EF3229">
            <w:pPr>
              <w:rPr>
                <w:rFonts w:ascii="Calibri" w:hAnsi="Calibri" w:cs="Calibri"/>
                <w:sz w:val="20"/>
                <w:szCs w:val="20"/>
              </w:rPr>
            </w:pPr>
            <w:r w:rsidRPr="00D15B1C">
              <w:rPr>
                <w:rFonts w:ascii="Calibri" w:hAnsi="Calibri" w:cs="Calibri"/>
                <w:b/>
                <w:bCs/>
                <w:sz w:val="20"/>
                <w:szCs w:val="20"/>
              </w:rPr>
              <w:t>IO CC1</w:t>
            </w:r>
            <w:r w:rsidRPr="00D15B1C">
              <w:rPr>
                <w:rFonts w:ascii="Calibri" w:hAnsi="Calibri" w:cs="Calibri"/>
                <w:sz w:val="20"/>
                <w:szCs w:val="20"/>
              </w:rPr>
              <w:t xml:space="preserve"> Greater adoption of One Health approaches and integration of climate change considerations</w:t>
            </w:r>
          </w:p>
        </w:tc>
        <w:tc>
          <w:tcPr>
            <w:tcW w:w="4910" w:type="dxa"/>
          </w:tcPr>
          <w:p w14:paraId="16CAF309" w14:textId="77777777" w:rsidR="00A12586" w:rsidRPr="00D15B1C" w:rsidRDefault="00A12586" w:rsidP="00EF3229">
            <w:pPr>
              <w:rPr>
                <w:rStyle w:val="normaltextrun"/>
                <w:rFonts w:ascii="Calibri" w:hAnsi="Calibri" w:cs="Calibri"/>
                <w:color w:val="000000"/>
                <w:sz w:val="20"/>
                <w:szCs w:val="20"/>
                <w:shd w:val="clear" w:color="auto" w:fill="FFFFFF"/>
              </w:rPr>
            </w:pPr>
            <w:r w:rsidRPr="00D15B1C">
              <w:rPr>
                <w:rStyle w:val="normaltextrun"/>
                <w:rFonts w:ascii="Calibri" w:hAnsi="Calibri" w:cs="Calibri"/>
                <w:color w:val="000000"/>
                <w:sz w:val="20"/>
                <w:szCs w:val="20"/>
                <w:shd w:val="clear" w:color="auto" w:fill="FFFFFF"/>
              </w:rPr>
              <w:t>#1: Evidence of utilising risk-informed data to address health and climate-induced disasters and emergencies. </w:t>
            </w:r>
            <w:r w:rsidRPr="00D15B1C">
              <w:rPr>
                <w:rStyle w:val="normaltextrun"/>
                <w:rFonts w:ascii="Calibri" w:hAnsi="Calibri" w:cs="Calibri"/>
                <w:sz w:val="20"/>
                <w:szCs w:val="20"/>
              </w:rPr>
              <w:t> </w:t>
            </w:r>
          </w:p>
        </w:tc>
      </w:tr>
      <w:tr w:rsidR="00A12586" w:rsidRPr="00D15B1C" w14:paraId="1C6BAFCA" w14:textId="77777777" w:rsidTr="00144B4A">
        <w:tc>
          <w:tcPr>
            <w:tcW w:w="4106" w:type="dxa"/>
            <w:vMerge/>
          </w:tcPr>
          <w:p w14:paraId="0DD12C4B" w14:textId="77777777" w:rsidR="00A12586" w:rsidRPr="00D15B1C" w:rsidRDefault="00A12586" w:rsidP="00EF3229">
            <w:pPr>
              <w:rPr>
                <w:rFonts w:ascii="Calibri" w:hAnsi="Calibri" w:cs="Calibri"/>
                <w:sz w:val="20"/>
                <w:szCs w:val="20"/>
              </w:rPr>
            </w:pPr>
          </w:p>
        </w:tc>
        <w:tc>
          <w:tcPr>
            <w:tcW w:w="4910" w:type="dxa"/>
          </w:tcPr>
          <w:p w14:paraId="2C9CF4E5" w14:textId="77777777" w:rsidR="00A12586" w:rsidRPr="00D15B1C" w:rsidRDefault="00A12586" w:rsidP="00EF3229">
            <w:pPr>
              <w:rPr>
                <w:rFonts w:ascii="Calibri" w:hAnsi="Calibri" w:cs="Calibri"/>
                <w:sz w:val="20"/>
                <w:szCs w:val="20"/>
              </w:rPr>
            </w:pPr>
            <w:r w:rsidRPr="00D15B1C">
              <w:rPr>
                <w:rFonts w:ascii="Calibri" w:hAnsi="Calibri" w:cs="Calibri"/>
                <w:sz w:val="20"/>
                <w:szCs w:val="20"/>
              </w:rPr>
              <w:t>#2: Evidence of alignment between program strategies and climate legislation, policies, and frameworks.</w:t>
            </w:r>
          </w:p>
        </w:tc>
      </w:tr>
      <w:tr w:rsidR="00A12586" w:rsidRPr="00D15B1C" w14:paraId="424FE234" w14:textId="77777777" w:rsidTr="00144B4A">
        <w:tc>
          <w:tcPr>
            <w:tcW w:w="4106" w:type="dxa"/>
            <w:vMerge/>
          </w:tcPr>
          <w:p w14:paraId="6A438D81" w14:textId="77777777" w:rsidR="00A12586" w:rsidRPr="00D15B1C" w:rsidRDefault="00A12586" w:rsidP="00EF3229">
            <w:pPr>
              <w:rPr>
                <w:rFonts w:ascii="Calibri" w:hAnsi="Calibri" w:cs="Calibri"/>
                <w:sz w:val="20"/>
                <w:szCs w:val="20"/>
              </w:rPr>
            </w:pPr>
          </w:p>
        </w:tc>
        <w:tc>
          <w:tcPr>
            <w:tcW w:w="4910" w:type="dxa"/>
          </w:tcPr>
          <w:p w14:paraId="3C9885C0" w14:textId="77777777" w:rsidR="00A12586" w:rsidRPr="00D15B1C" w:rsidRDefault="00A12586" w:rsidP="00EF3229">
            <w:pPr>
              <w:rPr>
                <w:rFonts w:ascii="Calibri" w:hAnsi="Calibri" w:cs="Calibri"/>
                <w:sz w:val="20"/>
                <w:szCs w:val="20"/>
              </w:rPr>
            </w:pPr>
            <w:r w:rsidRPr="00D15B1C">
              <w:rPr>
                <w:rStyle w:val="normaltextrun"/>
                <w:rFonts w:ascii="Calibri" w:hAnsi="Calibri" w:cs="Calibri"/>
                <w:color w:val="000000"/>
                <w:sz w:val="20"/>
                <w:szCs w:val="20"/>
                <w:shd w:val="clear" w:color="auto" w:fill="FFFFFF"/>
              </w:rPr>
              <w:t>#3: Evidence that project activities have considered how climate change is impacting their health areas of focus</w:t>
            </w:r>
            <w:r w:rsidRPr="00D15B1C">
              <w:rPr>
                <w:rStyle w:val="eop"/>
                <w:rFonts w:ascii="Calibri" w:hAnsi="Calibri" w:cs="Calibri"/>
                <w:color w:val="000000"/>
                <w:sz w:val="20"/>
                <w:szCs w:val="20"/>
                <w:shd w:val="clear" w:color="auto" w:fill="FFFFFF"/>
              </w:rPr>
              <w:t> </w:t>
            </w:r>
          </w:p>
        </w:tc>
      </w:tr>
      <w:tr w:rsidR="00A12586" w:rsidRPr="00D15B1C" w14:paraId="7CEBBF9D" w14:textId="77777777" w:rsidTr="00144B4A">
        <w:tc>
          <w:tcPr>
            <w:tcW w:w="4106" w:type="dxa"/>
            <w:vMerge/>
          </w:tcPr>
          <w:p w14:paraId="0DA5BB5C" w14:textId="77777777" w:rsidR="00A12586" w:rsidRPr="00D15B1C" w:rsidRDefault="00A12586" w:rsidP="00EF3229">
            <w:pPr>
              <w:rPr>
                <w:rFonts w:ascii="Calibri" w:hAnsi="Calibri" w:cs="Calibri"/>
                <w:sz w:val="20"/>
                <w:szCs w:val="20"/>
              </w:rPr>
            </w:pPr>
          </w:p>
        </w:tc>
        <w:tc>
          <w:tcPr>
            <w:tcW w:w="4910" w:type="dxa"/>
          </w:tcPr>
          <w:p w14:paraId="2A11836D" w14:textId="77777777" w:rsidR="00A12586" w:rsidRPr="00D15B1C" w:rsidRDefault="00A12586" w:rsidP="00EF3229">
            <w:pPr>
              <w:rPr>
                <w:rFonts w:ascii="Calibri" w:hAnsi="Calibri" w:cs="Calibri"/>
                <w:sz w:val="20"/>
                <w:szCs w:val="20"/>
              </w:rPr>
            </w:pPr>
            <w:r w:rsidRPr="00D15B1C">
              <w:rPr>
                <w:rFonts w:ascii="Calibri" w:hAnsi="Calibri" w:cs="Calibri"/>
                <w:sz w:val="20"/>
                <w:szCs w:val="20"/>
              </w:rPr>
              <w:t xml:space="preserve">#4: Evidence that project activities engage in and/or strengthen One Health approaches </w:t>
            </w:r>
          </w:p>
        </w:tc>
      </w:tr>
      <w:tr w:rsidR="00A12586" w:rsidRPr="00D15B1C" w14:paraId="1C01F949" w14:textId="77777777" w:rsidTr="00144B4A">
        <w:tc>
          <w:tcPr>
            <w:tcW w:w="4106" w:type="dxa"/>
          </w:tcPr>
          <w:p w14:paraId="7B22F420" w14:textId="77777777" w:rsidR="00A12586" w:rsidRPr="00D15B1C" w:rsidRDefault="00A12586" w:rsidP="00EF3229">
            <w:pPr>
              <w:rPr>
                <w:rFonts w:ascii="Calibri" w:hAnsi="Calibri" w:cs="Calibri"/>
                <w:sz w:val="20"/>
                <w:szCs w:val="20"/>
              </w:rPr>
            </w:pPr>
            <w:r w:rsidRPr="00D15B1C">
              <w:rPr>
                <w:rFonts w:ascii="Calibri" w:hAnsi="Calibri" w:cs="Calibri"/>
                <w:b/>
                <w:bCs/>
                <w:sz w:val="20"/>
                <w:szCs w:val="20"/>
              </w:rPr>
              <w:t>IO CC2</w:t>
            </w:r>
            <w:r w:rsidRPr="00D15B1C">
              <w:rPr>
                <w:rFonts w:ascii="Calibri" w:hAnsi="Calibri" w:cs="Calibri"/>
                <w:sz w:val="20"/>
                <w:szCs w:val="20"/>
              </w:rPr>
              <w:t xml:space="preserve"> PHR investments effectively progress gender equality, disability equity and social inclusion (GEDSI) outcomes</w:t>
            </w:r>
          </w:p>
        </w:tc>
        <w:tc>
          <w:tcPr>
            <w:tcW w:w="4910" w:type="dxa"/>
          </w:tcPr>
          <w:p w14:paraId="06FC66D7" w14:textId="08407954"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6A5B9B">
              <w:rPr>
                <w:rFonts w:ascii="Calibri" w:hAnsi="Calibri" w:cs="Calibri"/>
                <w:sz w:val="20"/>
                <w:szCs w:val="20"/>
              </w:rPr>
              <w:t>5</w:t>
            </w:r>
            <w:r w:rsidRPr="00D15B1C">
              <w:rPr>
                <w:rFonts w:ascii="Calibri" w:hAnsi="Calibri" w:cs="Calibri"/>
                <w:sz w:val="20"/>
                <w:szCs w:val="20"/>
              </w:rPr>
              <w:t>: Evidence of GEDSI outcomes in policy, capacity, practice, and/or norms and social change. </w:t>
            </w:r>
          </w:p>
        </w:tc>
      </w:tr>
      <w:tr w:rsidR="00A12586" w:rsidRPr="00D15B1C" w14:paraId="0DFD7888" w14:textId="77777777" w:rsidTr="00144B4A">
        <w:tc>
          <w:tcPr>
            <w:tcW w:w="4106" w:type="dxa"/>
          </w:tcPr>
          <w:p w14:paraId="3D5FEDF0"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CC3 </w:t>
            </w:r>
            <w:r w:rsidRPr="00D15B1C">
              <w:rPr>
                <w:rFonts w:ascii="Calibri" w:hAnsi="Calibri" w:cs="Calibri"/>
                <w:sz w:val="20"/>
                <w:szCs w:val="20"/>
              </w:rPr>
              <w:t>PHR programming is enhanced by First Nations Australians perspectives (Tier 3)</w:t>
            </w:r>
          </w:p>
        </w:tc>
        <w:tc>
          <w:tcPr>
            <w:tcW w:w="4910" w:type="dxa"/>
          </w:tcPr>
          <w:p w14:paraId="2437DBF1" w14:textId="6C4D02EE"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B74AE7">
              <w:rPr>
                <w:rFonts w:ascii="Calibri" w:hAnsi="Calibri" w:cs="Calibri"/>
                <w:sz w:val="20"/>
                <w:szCs w:val="20"/>
              </w:rPr>
              <w:t>6</w:t>
            </w:r>
            <w:r w:rsidRPr="00D15B1C">
              <w:rPr>
                <w:rFonts w:ascii="Calibri" w:hAnsi="Calibri" w:cs="Calibri"/>
                <w:sz w:val="20"/>
                <w:szCs w:val="20"/>
              </w:rPr>
              <w:t xml:space="preserve">: Evidence of First Nations Australian’s perspectives being effectively embedded into PHR programming </w:t>
            </w:r>
            <w:r w:rsidRPr="00D15B1C">
              <w:rPr>
                <w:rFonts w:ascii="Calibri" w:hAnsi="Calibri" w:cs="Calibri"/>
                <w:i/>
                <w:iCs/>
                <w:sz w:val="20"/>
                <w:szCs w:val="20"/>
              </w:rPr>
              <w:t>(linked to Tier 3 indicator</w:t>
            </w:r>
            <w:r w:rsidRPr="00D15B1C">
              <w:rPr>
                <w:rStyle w:val="normaltextrun"/>
                <w:rFonts w:ascii="Calibri" w:hAnsi="Calibri" w:cs="Calibri"/>
                <w:i/>
                <w:iCs/>
                <w:color w:val="000000"/>
                <w:sz w:val="20"/>
                <w:szCs w:val="20"/>
                <w:shd w:val="clear" w:color="auto" w:fill="FFFFFF"/>
              </w:rPr>
              <w:t>)</w:t>
            </w:r>
            <w:r w:rsidRPr="00D15B1C">
              <w:rPr>
                <w:rFonts w:ascii="Calibri" w:hAnsi="Calibri" w:cs="Calibri"/>
                <w:sz w:val="20"/>
                <w:szCs w:val="20"/>
              </w:rPr>
              <w:t>.</w:t>
            </w:r>
          </w:p>
        </w:tc>
      </w:tr>
      <w:tr w:rsidR="00A12586" w:rsidRPr="00D15B1C" w14:paraId="3F65060B" w14:textId="77777777" w:rsidTr="00144B4A">
        <w:tc>
          <w:tcPr>
            <w:tcW w:w="4106" w:type="dxa"/>
            <w:vMerge w:val="restart"/>
          </w:tcPr>
          <w:p w14:paraId="5005B3ED"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IO CC4</w:t>
            </w:r>
            <w:r w:rsidRPr="00D15B1C">
              <w:rPr>
                <w:rFonts w:ascii="Calibri" w:hAnsi="Calibri" w:cs="Calibri"/>
                <w:sz w:val="20"/>
                <w:szCs w:val="20"/>
              </w:rPr>
              <w:t xml:space="preserve"> Increased community engagement and locally led development across PHR investments</w:t>
            </w:r>
          </w:p>
        </w:tc>
        <w:tc>
          <w:tcPr>
            <w:tcW w:w="4910" w:type="dxa"/>
          </w:tcPr>
          <w:p w14:paraId="05D45F9F" w14:textId="126E88A2"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B74AE7">
              <w:rPr>
                <w:rFonts w:ascii="Calibri" w:hAnsi="Calibri" w:cs="Calibri"/>
                <w:sz w:val="20"/>
                <w:szCs w:val="20"/>
              </w:rPr>
              <w:t>7</w:t>
            </w:r>
            <w:r w:rsidRPr="00D15B1C">
              <w:rPr>
                <w:rFonts w:ascii="Calibri" w:hAnsi="Calibri" w:cs="Calibri"/>
                <w:sz w:val="20"/>
                <w:szCs w:val="20"/>
              </w:rPr>
              <w:t>: Evidence of local communities and non-government/civil society being meaningfully engaged in planning, delivery, monitoring and governance of PHR activities. </w:t>
            </w:r>
          </w:p>
        </w:tc>
      </w:tr>
      <w:tr w:rsidR="00A12586" w:rsidRPr="00D15B1C" w14:paraId="16BB8B71" w14:textId="77777777" w:rsidTr="00144B4A">
        <w:tc>
          <w:tcPr>
            <w:tcW w:w="4106" w:type="dxa"/>
            <w:vMerge/>
          </w:tcPr>
          <w:p w14:paraId="21A59F14" w14:textId="77777777" w:rsidR="00A12586" w:rsidRPr="00D15B1C" w:rsidRDefault="00A12586" w:rsidP="00EF3229">
            <w:pPr>
              <w:rPr>
                <w:rFonts w:ascii="Calibri" w:hAnsi="Calibri" w:cs="Calibri"/>
                <w:b/>
                <w:bCs/>
                <w:sz w:val="20"/>
                <w:szCs w:val="20"/>
              </w:rPr>
            </w:pPr>
          </w:p>
        </w:tc>
        <w:tc>
          <w:tcPr>
            <w:tcW w:w="4910" w:type="dxa"/>
          </w:tcPr>
          <w:p w14:paraId="69D475E4" w14:textId="763DAC59"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B74AE7">
              <w:rPr>
                <w:rFonts w:ascii="Calibri" w:hAnsi="Calibri" w:cs="Calibri"/>
                <w:sz w:val="20"/>
                <w:szCs w:val="20"/>
              </w:rPr>
              <w:t>8</w:t>
            </w:r>
            <w:r w:rsidRPr="00D15B1C">
              <w:rPr>
                <w:rFonts w:ascii="Calibri" w:hAnsi="Calibri" w:cs="Calibri"/>
                <w:sz w:val="20"/>
                <w:szCs w:val="20"/>
              </w:rPr>
              <w:t>: Evidence of strengthened community systems to influence health policy and programs (at local, sub-national or national level).</w:t>
            </w:r>
          </w:p>
        </w:tc>
      </w:tr>
      <w:tr w:rsidR="00A12586" w:rsidRPr="00D15B1C" w14:paraId="5D8298B7" w14:textId="77777777" w:rsidTr="00EF3229">
        <w:tc>
          <w:tcPr>
            <w:tcW w:w="9016" w:type="dxa"/>
            <w:gridSpan w:val="2"/>
            <w:shd w:val="clear" w:color="auto" w:fill="198F81"/>
          </w:tcPr>
          <w:p w14:paraId="33E118D6" w14:textId="77777777" w:rsidR="00A12586" w:rsidRPr="00D15B1C" w:rsidRDefault="00A12586" w:rsidP="00EF3229">
            <w:pPr>
              <w:rPr>
                <w:rFonts w:ascii="Calibri" w:hAnsi="Calibri" w:cs="Calibri"/>
                <w:color w:val="FFFFFF" w:themeColor="background1"/>
                <w:sz w:val="20"/>
                <w:szCs w:val="20"/>
              </w:rPr>
            </w:pPr>
            <w:r w:rsidRPr="00D15B1C">
              <w:rPr>
                <w:rFonts w:ascii="Calibri" w:hAnsi="Calibri" w:cs="Calibri"/>
                <w:b/>
                <w:bCs/>
                <w:color w:val="FFFFFF" w:themeColor="background1"/>
                <w:sz w:val="20"/>
                <w:szCs w:val="20"/>
              </w:rPr>
              <w:t>EOPO 1: Communicable Disease Control</w:t>
            </w:r>
          </w:p>
        </w:tc>
      </w:tr>
      <w:tr w:rsidR="00A12586" w:rsidRPr="00D15B1C" w14:paraId="7BD2D1D6" w14:textId="77777777" w:rsidTr="00144B4A">
        <w:tc>
          <w:tcPr>
            <w:tcW w:w="4106" w:type="dxa"/>
          </w:tcPr>
          <w:p w14:paraId="76298F8D" w14:textId="77777777" w:rsidR="00A12586" w:rsidRPr="00D15B1C" w:rsidRDefault="00A12586" w:rsidP="00EF3229">
            <w:pPr>
              <w:rPr>
                <w:rFonts w:ascii="Calibri" w:hAnsi="Calibri" w:cs="Calibri"/>
                <w:b/>
                <w:bCs/>
                <w:sz w:val="20"/>
                <w:szCs w:val="20"/>
              </w:rPr>
            </w:pPr>
            <w:r w:rsidRPr="00D15B1C">
              <w:rPr>
                <w:rFonts w:ascii="Calibri" w:hAnsi="Calibri" w:cs="Calibri"/>
                <w:b/>
                <w:bCs/>
                <w:i/>
                <w:iCs/>
                <w:sz w:val="20"/>
                <w:szCs w:val="20"/>
              </w:rPr>
              <w:lastRenderedPageBreak/>
              <w:t>EOPO 1:  Australian assistance contributes to improved ability of partner countries to anticipate, prevent, detect and control communicable disease threats and to address equity in the delivery of these functions</w:t>
            </w:r>
            <w:r w:rsidRPr="00D15B1C">
              <w:rPr>
                <w:rFonts w:ascii="Calibri" w:hAnsi="Calibri" w:cs="Calibri"/>
                <w:i/>
                <w:iCs/>
                <w:sz w:val="20"/>
                <w:szCs w:val="20"/>
              </w:rPr>
              <w:t>)</w:t>
            </w:r>
          </w:p>
        </w:tc>
        <w:tc>
          <w:tcPr>
            <w:tcW w:w="4910" w:type="dxa"/>
          </w:tcPr>
          <w:p w14:paraId="337503B8" w14:textId="31C55042" w:rsidR="00A12586" w:rsidRPr="00D15B1C" w:rsidRDefault="00A12586" w:rsidP="00EF3229">
            <w:pPr>
              <w:suppressAutoHyphens/>
              <w:spacing w:after="120"/>
              <w:rPr>
                <w:rFonts w:ascii="Calibri" w:eastAsia="Calibri" w:hAnsi="Calibri" w:cs="Calibri"/>
                <w:sz w:val="20"/>
                <w:szCs w:val="20"/>
              </w:rPr>
            </w:pPr>
            <w:r w:rsidRPr="00D15B1C">
              <w:rPr>
                <w:rFonts w:ascii="Calibri" w:hAnsi="Calibri" w:cs="Calibri"/>
                <w:sz w:val="20"/>
                <w:szCs w:val="20"/>
              </w:rPr>
              <w:t>#</w:t>
            </w:r>
            <w:r w:rsidR="00B74AE7">
              <w:rPr>
                <w:rFonts w:ascii="Calibri" w:hAnsi="Calibri" w:cs="Calibri"/>
                <w:sz w:val="20"/>
                <w:szCs w:val="20"/>
              </w:rPr>
              <w:t>9</w:t>
            </w:r>
            <w:r w:rsidRPr="00D15B1C">
              <w:rPr>
                <w:rFonts w:ascii="Calibri" w:hAnsi="Calibri" w:cs="Calibri"/>
                <w:sz w:val="20"/>
                <w:szCs w:val="20"/>
              </w:rPr>
              <w:t xml:space="preserve">: Evidence of improved capability to anticipate, prevent, </w:t>
            </w:r>
            <w:r w:rsidRPr="00D15B1C">
              <w:rPr>
                <w:rFonts w:ascii="Calibri" w:eastAsia="Calibri" w:hAnsi="Calibri" w:cs="Calibri"/>
                <w:sz w:val="20"/>
                <w:szCs w:val="20"/>
              </w:rPr>
              <w:t>detect and control communicable disease threats, including for diverse communities.</w:t>
            </w:r>
          </w:p>
          <w:p w14:paraId="2B1C681C" w14:textId="77777777" w:rsidR="00A12586" w:rsidRPr="00D15B1C" w:rsidRDefault="00A12586" w:rsidP="00EF3229">
            <w:pPr>
              <w:rPr>
                <w:rFonts w:ascii="Calibri" w:hAnsi="Calibri" w:cs="Calibri"/>
                <w:sz w:val="20"/>
                <w:szCs w:val="20"/>
              </w:rPr>
            </w:pPr>
          </w:p>
        </w:tc>
      </w:tr>
      <w:tr w:rsidR="00A12586" w:rsidRPr="00D15B1C" w14:paraId="02AE9E57" w14:textId="77777777" w:rsidTr="00144B4A">
        <w:tc>
          <w:tcPr>
            <w:tcW w:w="4106" w:type="dxa"/>
            <w:vMerge w:val="restart"/>
          </w:tcPr>
          <w:p w14:paraId="61C8EC83" w14:textId="77777777" w:rsidR="00A12586" w:rsidRPr="00D15B1C" w:rsidDel="00C8391E" w:rsidRDefault="00A12586" w:rsidP="00EF3229">
            <w:pPr>
              <w:rPr>
                <w:rFonts w:ascii="Calibri" w:hAnsi="Calibri" w:cs="Calibri"/>
                <w:sz w:val="20"/>
                <w:szCs w:val="20"/>
              </w:rPr>
            </w:pPr>
            <w:r w:rsidRPr="00D15B1C">
              <w:rPr>
                <w:rFonts w:ascii="Calibri" w:hAnsi="Calibri" w:cs="Calibri"/>
                <w:b/>
                <w:bCs/>
                <w:sz w:val="20"/>
                <w:szCs w:val="20"/>
              </w:rPr>
              <w:t xml:space="preserve">IO1.1 </w:t>
            </w:r>
            <w:r w:rsidRPr="00D15B1C">
              <w:rPr>
                <w:rFonts w:ascii="Calibri" w:hAnsi="Calibri" w:cs="Calibri"/>
                <w:sz w:val="20"/>
                <w:szCs w:val="20"/>
              </w:rPr>
              <w:t>Strengthened capacity and systems to respond to epidemic and endemic communicable disease threats</w:t>
            </w:r>
          </w:p>
          <w:p w14:paraId="74263B79" w14:textId="77777777" w:rsidR="00A12586" w:rsidRPr="00D15B1C" w:rsidRDefault="00A12586" w:rsidP="00EF3229">
            <w:pPr>
              <w:rPr>
                <w:rFonts w:ascii="Calibri" w:hAnsi="Calibri" w:cs="Calibri"/>
                <w:b/>
                <w:bCs/>
                <w:sz w:val="20"/>
                <w:szCs w:val="20"/>
              </w:rPr>
            </w:pPr>
          </w:p>
        </w:tc>
        <w:tc>
          <w:tcPr>
            <w:tcW w:w="4910" w:type="dxa"/>
          </w:tcPr>
          <w:p w14:paraId="79C481A5" w14:textId="3F59808D" w:rsidR="00A12586" w:rsidRPr="00D15B1C" w:rsidRDefault="00A12586" w:rsidP="00EF3229">
            <w:pPr>
              <w:rPr>
                <w:rFonts w:ascii="Calibri" w:hAnsi="Calibri" w:cs="Calibri"/>
                <w:sz w:val="20"/>
                <w:szCs w:val="20"/>
              </w:rPr>
            </w:pPr>
            <w:r w:rsidRPr="00D15B1C">
              <w:rPr>
                <w:rFonts w:ascii="Calibri" w:hAnsi="Calibri" w:cs="Calibri"/>
                <w:sz w:val="20"/>
                <w:szCs w:val="20"/>
              </w:rPr>
              <w:t>#1</w:t>
            </w:r>
            <w:r w:rsidR="00B74AE7">
              <w:rPr>
                <w:rFonts w:ascii="Calibri" w:hAnsi="Calibri" w:cs="Calibri"/>
                <w:sz w:val="20"/>
                <w:szCs w:val="20"/>
              </w:rPr>
              <w:t>0</w:t>
            </w:r>
            <w:r w:rsidRPr="00D15B1C">
              <w:rPr>
                <w:rFonts w:ascii="Calibri" w:hAnsi="Calibri" w:cs="Calibri"/>
                <w:sz w:val="20"/>
                <w:szCs w:val="20"/>
              </w:rPr>
              <w:t>: Evidence of meaningful/equitable inclusion of groups who experience social disadvantage in programs and/or services aimed at reduced communicable disease threats.</w:t>
            </w:r>
          </w:p>
        </w:tc>
      </w:tr>
      <w:tr w:rsidR="00A12586" w:rsidRPr="00D15B1C" w14:paraId="440EABC2" w14:textId="77777777" w:rsidTr="00144B4A">
        <w:tc>
          <w:tcPr>
            <w:tcW w:w="4106" w:type="dxa"/>
            <w:vMerge/>
          </w:tcPr>
          <w:p w14:paraId="7FFD2BC5" w14:textId="77777777" w:rsidR="00A12586" w:rsidRPr="00D15B1C" w:rsidRDefault="00A12586" w:rsidP="00EF3229">
            <w:pPr>
              <w:rPr>
                <w:rFonts w:ascii="Calibri" w:hAnsi="Calibri" w:cs="Calibri"/>
                <w:b/>
                <w:bCs/>
                <w:sz w:val="20"/>
                <w:szCs w:val="20"/>
              </w:rPr>
            </w:pPr>
          </w:p>
        </w:tc>
        <w:tc>
          <w:tcPr>
            <w:tcW w:w="4910" w:type="dxa"/>
          </w:tcPr>
          <w:p w14:paraId="2E851F4D" w14:textId="51947050"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2070A5">
              <w:rPr>
                <w:rFonts w:ascii="Calibri" w:hAnsi="Calibri" w:cs="Calibri"/>
                <w:sz w:val="20"/>
                <w:szCs w:val="20"/>
              </w:rPr>
              <w:t>1</w:t>
            </w:r>
            <w:r w:rsidR="00B74AE7">
              <w:rPr>
                <w:rFonts w:ascii="Calibri" w:hAnsi="Calibri" w:cs="Calibri"/>
                <w:sz w:val="20"/>
                <w:szCs w:val="20"/>
              </w:rPr>
              <w:t>1</w:t>
            </w:r>
            <w:r w:rsidRPr="00D15B1C">
              <w:rPr>
                <w:rFonts w:ascii="Calibri" w:hAnsi="Calibri" w:cs="Calibri"/>
                <w:sz w:val="20"/>
                <w:szCs w:val="20"/>
              </w:rPr>
              <w:t>: Evidence of strengthened multisectoral outbreak response systems. (</w:t>
            </w:r>
            <w:r w:rsidRPr="00D15B1C">
              <w:rPr>
                <w:rFonts w:ascii="Calibri" w:hAnsi="Calibri" w:cs="Calibri"/>
                <w:i/>
                <w:iCs/>
                <w:sz w:val="20"/>
                <w:szCs w:val="20"/>
              </w:rPr>
              <w:t>JEE P.4.1)</w:t>
            </w:r>
          </w:p>
        </w:tc>
      </w:tr>
      <w:tr w:rsidR="00A12586" w:rsidRPr="00D15B1C" w14:paraId="33E5AB0C" w14:textId="77777777" w:rsidTr="00144B4A">
        <w:tc>
          <w:tcPr>
            <w:tcW w:w="4106" w:type="dxa"/>
            <w:vMerge/>
          </w:tcPr>
          <w:p w14:paraId="01E002B4" w14:textId="77777777" w:rsidR="00A12586" w:rsidRPr="00D15B1C" w:rsidRDefault="00A12586" w:rsidP="00EF3229">
            <w:pPr>
              <w:rPr>
                <w:rFonts w:ascii="Calibri" w:hAnsi="Calibri" w:cs="Calibri"/>
                <w:b/>
                <w:bCs/>
                <w:sz w:val="20"/>
                <w:szCs w:val="20"/>
              </w:rPr>
            </w:pPr>
          </w:p>
        </w:tc>
        <w:tc>
          <w:tcPr>
            <w:tcW w:w="4910" w:type="dxa"/>
          </w:tcPr>
          <w:p w14:paraId="09D462F9" w14:textId="0E72C5EE"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1</w:t>
            </w:r>
            <w:r w:rsidR="00B74AE7">
              <w:rPr>
                <w:rFonts w:ascii="Calibri" w:hAnsi="Calibri" w:cs="Calibri"/>
                <w:sz w:val="20"/>
                <w:szCs w:val="20"/>
              </w:rPr>
              <w:t>2</w:t>
            </w:r>
            <w:r w:rsidRPr="00D15B1C">
              <w:rPr>
                <w:rFonts w:ascii="Calibri" w:hAnsi="Calibri" w:cs="Calibri"/>
                <w:sz w:val="20"/>
                <w:szCs w:val="20"/>
              </w:rPr>
              <w:t>: Evidence of strengthened multisectoral laboratory systems. (</w:t>
            </w:r>
            <w:r w:rsidRPr="00D15B1C">
              <w:rPr>
                <w:rFonts w:ascii="Calibri" w:hAnsi="Calibri" w:cs="Calibri"/>
                <w:i/>
                <w:iCs/>
                <w:sz w:val="20"/>
                <w:szCs w:val="20"/>
              </w:rPr>
              <w:t>JEE D.1.1</w:t>
            </w:r>
            <w:r w:rsidRPr="00D15B1C">
              <w:rPr>
                <w:rFonts w:ascii="Calibri" w:hAnsi="Calibri" w:cs="Calibri"/>
                <w:sz w:val="20"/>
                <w:szCs w:val="20"/>
              </w:rPr>
              <w:t>)</w:t>
            </w:r>
          </w:p>
        </w:tc>
      </w:tr>
      <w:tr w:rsidR="00A12586" w:rsidRPr="00D15B1C" w14:paraId="0EDC67F0" w14:textId="77777777" w:rsidTr="00144B4A">
        <w:tc>
          <w:tcPr>
            <w:tcW w:w="4106" w:type="dxa"/>
            <w:vMerge/>
          </w:tcPr>
          <w:p w14:paraId="0CDFCBDC" w14:textId="77777777" w:rsidR="00A12586" w:rsidRPr="00D15B1C" w:rsidRDefault="00A12586" w:rsidP="00EF3229">
            <w:pPr>
              <w:rPr>
                <w:rFonts w:ascii="Calibri" w:hAnsi="Calibri" w:cs="Calibri"/>
                <w:b/>
                <w:bCs/>
                <w:sz w:val="20"/>
                <w:szCs w:val="20"/>
              </w:rPr>
            </w:pPr>
          </w:p>
        </w:tc>
        <w:tc>
          <w:tcPr>
            <w:tcW w:w="4910" w:type="dxa"/>
          </w:tcPr>
          <w:p w14:paraId="009C7FB8" w14:textId="3AD5DF90"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1</w:t>
            </w:r>
            <w:r w:rsidR="00B74AE7">
              <w:rPr>
                <w:rFonts w:ascii="Calibri" w:hAnsi="Calibri" w:cs="Calibri"/>
                <w:sz w:val="20"/>
                <w:szCs w:val="20"/>
              </w:rPr>
              <w:t>3</w:t>
            </w:r>
            <w:r w:rsidRPr="00D15B1C">
              <w:rPr>
                <w:rFonts w:ascii="Calibri" w:hAnsi="Calibri" w:cs="Calibri"/>
                <w:sz w:val="20"/>
                <w:szCs w:val="20"/>
              </w:rPr>
              <w:t>: Evidence of evidence-based health policies with consideration to principles of equity and inclusion.</w:t>
            </w:r>
          </w:p>
        </w:tc>
      </w:tr>
      <w:tr w:rsidR="00A12586" w:rsidRPr="00D15B1C" w14:paraId="7E0ECA98" w14:textId="77777777" w:rsidTr="00144B4A">
        <w:tc>
          <w:tcPr>
            <w:tcW w:w="4106" w:type="dxa"/>
            <w:vMerge/>
          </w:tcPr>
          <w:p w14:paraId="388C12DB" w14:textId="77777777" w:rsidR="00A12586" w:rsidRPr="00D15B1C" w:rsidRDefault="00A12586" w:rsidP="00EF3229">
            <w:pPr>
              <w:rPr>
                <w:rFonts w:ascii="Calibri" w:hAnsi="Calibri" w:cs="Calibri"/>
                <w:b/>
                <w:bCs/>
                <w:sz w:val="20"/>
                <w:szCs w:val="20"/>
              </w:rPr>
            </w:pPr>
          </w:p>
        </w:tc>
        <w:tc>
          <w:tcPr>
            <w:tcW w:w="4910" w:type="dxa"/>
          </w:tcPr>
          <w:p w14:paraId="70BC2CC7" w14:textId="0B6C375C"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1</w:t>
            </w:r>
            <w:r w:rsidR="00B74AE7">
              <w:rPr>
                <w:rFonts w:ascii="Calibri" w:hAnsi="Calibri" w:cs="Calibri"/>
                <w:sz w:val="20"/>
                <w:szCs w:val="20"/>
              </w:rPr>
              <w:t>4</w:t>
            </w:r>
            <w:r w:rsidRPr="00D15B1C">
              <w:rPr>
                <w:rFonts w:ascii="Calibri" w:hAnsi="Calibri" w:cs="Calibri"/>
                <w:sz w:val="20"/>
                <w:szCs w:val="20"/>
              </w:rPr>
              <w:t>: Evidence of improved treatment and case management of communicable diseases that considers equity and inclusion.</w:t>
            </w:r>
          </w:p>
        </w:tc>
      </w:tr>
      <w:tr w:rsidR="00A12586" w:rsidRPr="00D15B1C" w14:paraId="47407B4C" w14:textId="77777777" w:rsidTr="00144B4A">
        <w:tc>
          <w:tcPr>
            <w:tcW w:w="4106" w:type="dxa"/>
          </w:tcPr>
          <w:p w14:paraId="187F369C"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IO1.2</w:t>
            </w:r>
            <w:r w:rsidRPr="00D15B1C">
              <w:rPr>
                <w:rFonts w:ascii="Calibri" w:hAnsi="Calibri" w:cs="Calibri"/>
                <w:sz w:val="20"/>
                <w:szCs w:val="20"/>
              </w:rPr>
              <w:t xml:space="preserve"> Strengthened pandemic preparedness and outbreak response systems and capacity</w:t>
            </w:r>
          </w:p>
        </w:tc>
        <w:tc>
          <w:tcPr>
            <w:tcW w:w="4910" w:type="dxa"/>
          </w:tcPr>
          <w:p w14:paraId="635ECF38" w14:textId="69A52F4C"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1</w:t>
            </w:r>
            <w:r w:rsidR="00770FC1">
              <w:rPr>
                <w:rFonts w:ascii="Calibri" w:hAnsi="Calibri" w:cs="Calibri"/>
                <w:sz w:val="20"/>
                <w:szCs w:val="20"/>
              </w:rPr>
              <w:t>5</w:t>
            </w:r>
            <w:r w:rsidR="009F734E">
              <w:rPr>
                <w:rFonts w:ascii="Calibri" w:hAnsi="Calibri" w:cs="Calibri"/>
                <w:sz w:val="20"/>
                <w:szCs w:val="20"/>
              </w:rPr>
              <w:t xml:space="preserve">: </w:t>
            </w:r>
            <w:r w:rsidRPr="00D15B1C">
              <w:rPr>
                <w:rFonts w:ascii="Calibri" w:hAnsi="Calibri" w:cs="Calibri"/>
                <w:sz w:val="20"/>
                <w:szCs w:val="20"/>
              </w:rPr>
              <w:t>Evidence of improved use of early warning and public health surveillance systems, including those that use a One Health approach and/or are at community level. (</w:t>
            </w:r>
            <w:r w:rsidRPr="00D15B1C">
              <w:rPr>
                <w:rFonts w:ascii="Calibri" w:hAnsi="Calibri" w:cs="Calibri"/>
                <w:i/>
                <w:iCs/>
                <w:sz w:val="20"/>
                <w:szCs w:val="20"/>
              </w:rPr>
              <w:t>JEE R.2.2)</w:t>
            </w:r>
          </w:p>
        </w:tc>
      </w:tr>
      <w:tr w:rsidR="00A12586" w:rsidRPr="00D15B1C" w14:paraId="4DD774E4" w14:textId="77777777" w:rsidTr="00144B4A">
        <w:tc>
          <w:tcPr>
            <w:tcW w:w="4106" w:type="dxa"/>
            <w:vMerge w:val="restart"/>
          </w:tcPr>
          <w:p w14:paraId="0FC6F84A"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IO1.3</w:t>
            </w:r>
            <w:r w:rsidRPr="00D15B1C">
              <w:rPr>
                <w:rFonts w:ascii="Calibri" w:hAnsi="Calibri" w:cs="Calibri"/>
                <w:sz w:val="20"/>
                <w:szCs w:val="20"/>
              </w:rPr>
              <w:t xml:space="preserve"> Increased development, trialling, registration of, and access to new or modified medical products</w:t>
            </w:r>
          </w:p>
        </w:tc>
        <w:tc>
          <w:tcPr>
            <w:tcW w:w="4910" w:type="dxa"/>
          </w:tcPr>
          <w:p w14:paraId="5F2FF504" w14:textId="0436B3C1" w:rsidR="00A12586" w:rsidRPr="00D15B1C" w:rsidRDefault="00A12586" w:rsidP="00EF3229">
            <w:pPr>
              <w:rPr>
                <w:rFonts w:ascii="Calibri" w:hAnsi="Calibri" w:cs="Calibri"/>
                <w:sz w:val="20"/>
                <w:szCs w:val="20"/>
              </w:rPr>
            </w:pPr>
            <w:r w:rsidRPr="00D15B1C">
              <w:rPr>
                <w:rFonts w:ascii="Calibri" w:hAnsi="Calibri" w:cs="Calibri"/>
                <w:sz w:val="20"/>
                <w:szCs w:val="20"/>
              </w:rPr>
              <w:t>#1</w:t>
            </w:r>
            <w:r w:rsidR="00770FC1">
              <w:rPr>
                <w:rFonts w:ascii="Calibri" w:hAnsi="Calibri" w:cs="Calibri"/>
                <w:sz w:val="20"/>
                <w:szCs w:val="20"/>
              </w:rPr>
              <w:t>6</w:t>
            </w:r>
            <w:r w:rsidRPr="00D15B1C">
              <w:rPr>
                <w:rFonts w:ascii="Calibri" w:hAnsi="Calibri" w:cs="Calibri"/>
                <w:sz w:val="20"/>
                <w:szCs w:val="20"/>
              </w:rPr>
              <w:t>: Number of products, developed with support from the Australian Government, that are available and being accessed by Indo-Pacific populations in the past year.</w:t>
            </w:r>
          </w:p>
        </w:tc>
      </w:tr>
      <w:tr w:rsidR="00A12586" w:rsidRPr="00D15B1C" w14:paraId="26709AB0" w14:textId="77777777" w:rsidTr="00144B4A">
        <w:tc>
          <w:tcPr>
            <w:tcW w:w="4106" w:type="dxa"/>
            <w:vMerge/>
          </w:tcPr>
          <w:p w14:paraId="5DAC31E2" w14:textId="77777777" w:rsidR="00A12586" w:rsidRPr="00D15B1C" w:rsidRDefault="00A12586" w:rsidP="00EF3229">
            <w:pPr>
              <w:rPr>
                <w:rFonts w:ascii="Calibri" w:hAnsi="Calibri" w:cs="Calibri"/>
                <w:b/>
                <w:bCs/>
                <w:sz w:val="20"/>
                <w:szCs w:val="20"/>
              </w:rPr>
            </w:pPr>
          </w:p>
        </w:tc>
        <w:tc>
          <w:tcPr>
            <w:tcW w:w="4910" w:type="dxa"/>
          </w:tcPr>
          <w:p w14:paraId="320289E3" w14:textId="6491308C"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1</w:t>
            </w:r>
            <w:r w:rsidR="00770FC1">
              <w:rPr>
                <w:rFonts w:ascii="Calibri" w:hAnsi="Calibri" w:cs="Calibri"/>
                <w:sz w:val="20"/>
                <w:szCs w:val="20"/>
              </w:rPr>
              <w:t>7</w:t>
            </w:r>
            <w:r w:rsidRPr="00D15B1C">
              <w:rPr>
                <w:rFonts w:ascii="Calibri" w:hAnsi="Calibri" w:cs="Calibri"/>
                <w:sz w:val="20"/>
                <w:szCs w:val="20"/>
              </w:rPr>
              <w:t>: Evidence that PDAPs have institutionalised approaches within their organisations that are responsive to gender, disability and social determinants.</w:t>
            </w:r>
          </w:p>
        </w:tc>
      </w:tr>
      <w:tr w:rsidR="00A12586" w:rsidRPr="00D15B1C" w14:paraId="0065C9B2" w14:textId="77777777" w:rsidTr="00EF3229">
        <w:tc>
          <w:tcPr>
            <w:tcW w:w="9016" w:type="dxa"/>
            <w:gridSpan w:val="2"/>
            <w:shd w:val="clear" w:color="auto" w:fill="198F81"/>
          </w:tcPr>
          <w:p w14:paraId="48EB27E1" w14:textId="77777777" w:rsidR="00A12586" w:rsidRPr="00D15B1C" w:rsidRDefault="00A12586" w:rsidP="00EF3229">
            <w:pPr>
              <w:rPr>
                <w:rFonts w:ascii="Calibri" w:hAnsi="Calibri" w:cs="Calibri"/>
                <w:sz w:val="20"/>
                <w:szCs w:val="20"/>
              </w:rPr>
            </w:pPr>
            <w:r w:rsidRPr="00D15B1C">
              <w:rPr>
                <w:rFonts w:ascii="Calibri" w:hAnsi="Calibri" w:cs="Calibri"/>
                <w:b/>
                <w:bCs/>
                <w:color w:val="FFFFFF" w:themeColor="background1"/>
                <w:sz w:val="20"/>
                <w:szCs w:val="20"/>
              </w:rPr>
              <w:t>EOPO 2: Non-Communicable Disease Control</w:t>
            </w:r>
          </w:p>
        </w:tc>
      </w:tr>
      <w:tr w:rsidR="00A12586" w:rsidRPr="00D15B1C" w14:paraId="72A46C5C" w14:textId="77777777" w:rsidTr="00144B4A">
        <w:tc>
          <w:tcPr>
            <w:tcW w:w="4106" w:type="dxa"/>
            <w:vMerge w:val="restart"/>
          </w:tcPr>
          <w:p w14:paraId="5BF754CE"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EOPO2: </w:t>
            </w:r>
            <w:r w:rsidRPr="00D15B1C">
              <w:rPr>
                <w:rFonts w:ascii="Calibri" w:hAnsi="Calibri" w:cs="Calibri"/>
                <w:b/>
                <w:bCs/>
                <w:i/>
                <w:iCs/>
                <w:sz w:val="20"/>
                <w:szCs w:val="20"/>
              </w:rPr>
              <w:t>Australian assistance contributes to improved capacity of partner countries to prevent and control non-communicable disease in an equitable way​</w:t>
            </w:r>
          </w:p>
        </w:tc>
        <w:tc>
          <w:tcPr>
            <w:tcW w:w="4910" w:type="dxa"/>
          </w:tcPr>
          <w:p w14:paraId="3A7D43F2" w14:textId="269E1F21"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770FC1">
              <w:rPr>
                <w:rFonts w:ascii="Calibri" w:hAnsi="Calibri" w:cs="Calibri"/>
                <w:sz w:val="20"/>
                <w:szCs w:val="20"/>
              </w:rPr>
              <w:t>18</w:t>
            </w:r>
            <w:r w:rsidRPr="00D15B1C">
              <w:rPr>
                <w:rFonts w:ascii="Calibri" w:hAnsi="Calibri" w:cs="Calibri"/>
                <w:sz w:val="20"/>
                <w:szCs w:val="20"/>
              </w:rPr>
              <w:t xml:space="preserve">: Evidence of strengthened prevention, early detection, and management of non-communicable diseases, including mental health, aligned with national NCD plans and policies, as applicable. </w:t>
            </w:r>
          </w:p>
        </w:tc>
      </w:tr>
      <w:tr w:rsidR="00A12586" w:rsidRPr="00D15B1C" w14:paraId="644FF466" w14:textId="77777777" w:rsidTr="00144B4A">
        <w:tc>
          <w:tcPr>
            <w:tcW w:w="4106" w:type="dxa"/>
            <w:vMerge/>
          </w:tcPr>
          <w:p w14:paraId="28DDF045" w14:textId="77777777" w:rsidR="00A12586" w:rsidRPr="00D15B1C" w:rsidRDefault="00A12586" w:rsidP="00EF3229">
            <w:pPr>
              <w:rPr>
                <w:rFonts w:ascii="Calibri" w:hAnsi="Calibri" w:cs="Calibri"/>
                <w:b/>
                <w:bCs/>
                <w:sz w:val="20"/>
                <w:szCs w:val="20"/>
              </w:rPr>
            </w:pPr>
          </w:p>
        </w:tc>
        <w:tc>
          <w:tcPr>
            <w:tcW w:w="4910" w:type="dxa"/>
          </w:tcPr>
          <w:p w14:paraId="655761CD" w14:textId="56D4F913"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770FC1">
              <w:rPr>
                <w:rFonts w:ascii="Calibri" w:hAnsi="Calibri" w:cs="Calibri"/>
                <w:sz w:val="20"/>
                <w:szCs w:val="20"/>
              </w:rPr>
              <w:t>19</w:t>
            </w:r>
            <w:r w:rsidRPr="00D15B1C">
              <w:rPr>
                <w:rFonts w:ascii="Calibri" w:hAnsi="Calibri" w:cs="Calibri"/>
                <w:sz w:val="20"/>
                <w:szCs w:val="20"/>
              </w:rPr>
              <w:t>: Evidence of strengthened NCD policy and programming, including consideration of the social and commercial determinants of health.</w:t>
            </w:r>
          </w:p>
        </w:tc>
      </w:tr>
      <w:tr w:rsidR="00A12586" w:rsidRPr="00D15B1C" w14:paraId="2531DC89" w14:textId="77777777" w:rsidTr="00144B4A">
        <w:tc>
          <w:tcPr>
            <w:tcW w:w="4106" w:type="dxa"/>
            <w:vMerge w:val="restart"/>
          </w:tcPr>
          <w:p w14:paraId="6A5FE1B7"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2.1 </w:t>
            </w:r>
            <w:r w:rsidRPr="00D15B1C">
              <w:rPr>
                <w:rFonts w:ascii="Calibri" w:hAnsi="Calibri" w:cs="Calibri"/>
                <w:sz w:val="20"/>
                <w:szCs w:val="20"/>
              </w:rPr>
              <w:t xml:space="preserve">Effective health promotion, policy and regulatory reform focused on NCD risk factors resulting in changes in behaviour </w:t>
            </w:r>
          </w:p>
        </w:tc>
        <w:tc>
          <w:tcPr>
            <w:tcW w:w="4910" w:type="dxa"/>
          </w:tcPr>
          <w:p w14:paraId="7B632290" w14:textId="77B3CEE5"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2</w:t>
            </w:r>
            <w:r w:rsidR="00770FC1">
              <w:rPr>
                <w:rFonts w:ascii="Calibri" w:hAnsi="Calibri" w:cs="Calibri"/>
                <w:sz w:val="20"/>
                <w:szCs w:val="20"/>
              </w:rPr>
              <w:t>0</w:t>
            </w:r>
            <w:r w:rsidRPr="00D15B1C">
              <w:rPr>
                <w:rFonts w:ascii="Calibri" w:hAnsi="Calibri" w:cs="Calibri"/>
                <w:sz w:val="20"/>
                <w:szCs w:val="20"/>
              </w:rPr>
              <w:t>: Examples of implementation of evidence-based and inclusive public education and awareness campaigns which support adoption of behaviours, aligned with partner countries NCD plans and policies.</w:t>
            </w:r>
          </w:p>
        </w:tc>
      </w:tr>
      <w:tr w:rsidR="00A12586" w:rsidRPr="00D15B1C" w14:paraId="30053D68" w14:textId="77777777" w:rsidTr="00144B4A">
        <w:tc>
          <w:tcPr>
            <w:tcW w:w="4106" w:type="dxa"/>
            <w:vMerge/>
          </w:tcPr>
          <w:p w14:paraId="04E62EBE" w14:textId="77777777" w:rsidR="00A12586" w:rsidRPr="00D15B1C" w:rsidRDefault="00A12586" w:rsidP="00EF3229">
            <w:pPr>
              <w:rPr>
                <w:rFonts w:ascii="Calibri" w:hAnsi="Calibri" w:cs="Calibri"/>
                <w:b/>
                <w:bCs/>
                <w:sz w:val="20"/>
                <w:szCs w:val="20"/>
              </w:rPr>
            </w:pPr>
          </w:p>
        </w:tc>
        <w:tc>
          <w:tcPr>
            <w:tcW w:w="4910" w:type="dxa"/>
          </w:tcPr>
          <w:p w14:paraId="0D9BE0A1" w14:textId="6D366F37" w:rsidR="00A12586" w:rsidRPr="00D15B1C" w:rsidRDefault="00A12586" w:rsidP="00EF3229">
            <w:pPr>
              <w:rPr>
                <w:rFonts w:ascii="Calibri" w:hAnsi="Calibri" w:cs="Calibri"/>
                <w:sz w:val="20"/>
                <w:szCs w:val="20"/>
              </w:rPr>
            </w:pPr>
            <w:r w:rsidRPr="00D15B1C">
              <w:rPr>
                <w:rFonts w:ascii="Calibri" w:hAnsi="Calibri" w:cs="Calibri"/>
                <w:sz w:val="20"/>
                <w:szCs w:val="20"/>
              </w:rPr>
              <w:t>#2</w:t>
            </w:r>
            <w:r w:rsidR="00770FC1">
              <w:rPr>
                <w:rFonts w:ascii="Calibri" w:hAnsi="Calibri" w:cs="Calibri"/>
                <w:sz w:val="20"/>
                <w:szCs w:val="20"/>
              </w:rPr>
              <w:t>1</w:t>
            </w:r>
            <w:r w:rsidRPr="00D15B1C">
              <w:rPr>
                <w:rFonts w:ascii="Calibri" w:hAnsi="Calibri" w:cs="Calibri"/>
                <w:sz w:val="20"/>
                <w:szCs w:val="20"/>
              </w:rPr>
              <w:t>: Evidence of the policy-process being engaged to reduce the impact of NCD risk factors, such as (but not limited to) marketing of foods, sugar, salt/sodium, sweetened drinks, alcohol, and tobacco adopted by partner countries.</w:t>
            </w:r>
          </w:p>
        </w:tc>
      </w:tr>
      <w:tr w:rsidR="00A12586" w:rsidRPr="00D15B1C" w14:paraId="5F04B0F9" w14:textId="77777777" w:rsidTr="00144B4A">
        <w:tc>
          <w:tcPr>
            <w:tcW w:w="4106" w:type="dxa"/>
          </w:tcPr>
          <w:p w14:paraId="54118C1B"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IO 2.2</w:t>
            </w:r>
            <w:r w:rsidRPr="00D15B1C">
              <w:rPr>
                <w:rFonts w:ascii="Calibri" w:eastAsiaTheme="minorEastAsia" w:hAnsi="Calibri" w:cs="Calibri"/>
                <w:kern w:val="24"/>
                <w:sz w:val="20"/>
                <w:szCs w:val="20"/>
              </w:rPr>
              <w:t xml:space="preserve"> </w:t>
            </w:r>
            <w:r w:rsidRPr="00D15B1C">
              <w:rPr>
                <w:rFonts w:ascii="Calibri" w:hAnsi="Calibri" w:cs="Calibri"/>
                <w:sz w:val="20"/>
                <w:szCs w:val="20"/>
              </w:rPr>
              <w:t>Strengthened screening, early detection, and management of priority NCDs</w:t>
            </w:r>
          </w:p>
        </w:tc>
        <w:tc>
          <w:tcPr>
            <w:tcW w:w="4910" w:type="dxa"/>
          </w:tcPr>
          <w:p w14:paraId="4038D308" w14:textId="558519BA"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2</w:t>
            </w:r>
            <w:r w:rsidR="00770FC1">
              <w:rPr>
                <w:rFonts w:ascii="Calibri" w:hAnsi="Calibri" w:cs="Calibri"/>
                <w:sz w:val="20"/>
                <w:szCs w:val="20"/>
              </w:rPr>
              <w:t>2</w:t>
            </w:r>
            <w:r w:rsidRPr="00D15B1C">
              <w:rPr>
                <w:rFonts w:ascii="Calibri" w:hAnsi="Calibri" w:cs="Calibri"/>
                <w:sz w:val="20"/>
                <w:szCs w:val="20"/>
              </w:rPr>
              <w:t>: Evidence of improved quality screening/diagnosis of, and /or access to early treatment, for children, adolescents, women, and men, in all their diversity, for priority diseases and risk factors, such as (but not limited to) cervical cancer, hypertension, and diabetes.</w:t>
            </w:r>
          </w:p>
        </w:tc>
      </w:tr>
      <w:tr w:rsidR="00A12586" w:rsidRPr="00D15B1C" w14:paraId="7E175ED3" w14:textId="77777777" w:rsidTr="00144B4A">
        <w:tc>
          <w:tcPr>
            <w:tcW w:w="4106" w:type="dxa"/>
            <w:vMerge w:val="restart"/>
          </w:tcPr>
          <w:p w14:paraId="52061CD8"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2.3 </w:t>
            </w:r>
            <w:r w:rsidRPr="00D15B1C">
              <w:rPr>
                <w:rFonts w:ascii="Calibri" w:hAnsi="Calibri" w:cs="Calibri"/>
                <w:sz w:val="20"/>
                <w:szCs w:val="20"/>
              </w:rPr>
              <w:t>Effective models of care are supported which promote physical and psychosocial wellbeing</w:t>
            </w:r>
          </w:p>
        </w:tc>
        <w:tc>
          <w:tcPr>
            <w:tcW w:w="4910" w:type="dxa"/>
          </w:tcPr>
          <w:p w14:paraId="4F8D62E2" w14:textId="136A8E4B"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2</w:t>
            </w:r>
            <w:r w:rsidR="00770FC1">
              <w:rPr>
                <w:rFonts w:ascii="Calibri" w:hAnsi="Calibri" w:cs="Calibri"/>
                <w:sz w:val="20"/>
                <w:szCs w:val="20"/>
              </w:rPr>
              <w:t>3</w:t>
            </w:r>
            <w:r w:rsidRPr="00D15B1C">
              <w:rPr>
                <w:rFonts w:ascii="Calibri" w:hAnsi="Calibri" w:cs="Calibri"/>
                <w:sz w:val="20"/>
                <w:szCs w:val="20"/>
              </w:rPr>
              <w:t xml:space="preserve">: Evidence of improved knowledge, attitudes and behaviours and reduced stigma of community members, families and/or service providers towards people with mental health conditions and psychosocial disabilities. </w:t>
            </w:r>
          </w:p>
        </w:tc>
      </w:tr>
      <w:tr w:rsidR="00A12586" w:rsidRPr="00D15B1C" w14:paraId="1194BFED" w14:textId="77777777" w:rsidTr="00144B4A">
        <w:tc>
          <w:tcPr>
            <w:tcW w:w="4106" w:type="dxa"/>
            <w:vMerge/>
          </w:tcPr>
          <w:p w14:paraId="619DC5FA" w14:textId="77777777" w:rsidR="00A12586" w:rsidRPr="00D15B1C" w:rsidRDefault="00A12586" w:rsidP="00EF3229">
            <w:pPr>
              <w:rPr>
                <w:rFonts w:ascii="Calibri" w:hAnsi="Calibri" w:cs="Calibri"/>
                <w:b/>
                <w:bCs/>
                <w:sz w:val="20"/>
                <w:szCs w:val="20"/>
              </w:rPr>
            </w:pPr>
          </w:p>
        </w:tc>
        <w:tc>
          <w:tcPr>
            <w:tcW w:w="4910" w:type="dxa"/>
          </w:tcPr>
          <w:p w14:paraId="7CC0F570" w14:textId="5FF3CB19" w:rsidR="00A12586" w:rsidRPr="00D15B1C" w:rsidRDefault="00A12586" w:rsidP="00EF3229">
            <w:pPr>
              <w:rPr>
                <w:rFonts w:ascii="Calibri" w:hAnsi="Calibri" w:cs="Calibri"/>
                <w:sz w:val="20"/>
                <w:szCs w:val="20"/>
              </w:rPr>
            </w:pPr>
            <w:r w:rsidRPr="00D15B1C">
              <w:rPr>
                <w:rFonts w:ascii="Calibri" w:hAnsi="Calibri" w:cs="Calibri"/>
                <w:sz w:val="20"/>
                <w:szCs w:val="20"/>
              </w:rPr>
              <w:t>#2</w:t>
            </w:r>
            <w:r w:rsidR="00770FC1">
              <w:rPr>
                <w:rFonts w:ascii="Calibri" w:hAnsi="Calibri" w:cs="Calibri"/>
                <w:sz w:val="20"/>
                <w:szCs w:val="20"/>
              </w:rPr>
              <w:t>4</w:t>
            </w:r>
            <w:r w:rsidRPr="00D15B1C">
              <w:rPr>
                <w:rFonts w:ascii="Calibri" w:hAnsi="Calibri" w:cs="Calibri"/>
                <w:sz w:val="20"/>
                <w:szCs w:val="20"/>
              </w:rPr>
              <w:t>: # of people (sex/disability, age disaggregated if available) that have accessed rights based mental health and psychosocial support services.</w:t>
            </w:r>
          </w:p>
        </w:tc>
      </w:tr>
      <w:tr w:rsidR="00A12586" w:rsidRPr="00D15B1C" w14:paraId="28A275DE" w14:textId="77777777" w:rsidTr="00144B4A">
        <w:tc>
          <w:tcPr>
            <w:tcW w:w="4106" w:type="dxa"/>
            <w:vMerge/>
          </w:tcPr>
          <w:p w14:paraId="1293B2DA" w14:textId="77777777" w:rsidR="00A12586" w:rsidRPr="00D15B1C" w:rsidRDefault="00A12586" w:rsidP="00EF3229">
            <w:pPr>
              <w:rPr>
                <w:rFonts w:ascii="Calibri" w:hAnsi="Calibri" w:cs="Calibri"/>
                <w:b/>
                <w:bCs/>
                <w:sz w:val="20"/>
                <w:szCs w:val="20"/>
              </w:rPr>
            </w:pPr>
          </w:p>
        </w:tc>
        <w:tc>
          <w:tcPr>
            <w:tcW w:w="4910" w:type="dxa"/>
          </w:tcPr>
          <w:p w14:paraId="4741212C" w14:textId="331D6BB8" w:rsidR="00A12586" w:rsidRPr="00D15B1C" w:rsidRDefault="00A12586" w:rsidP="00EF3229">
            <w:pPr>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2</w:t>
            </w:r>
            <w:r w:rsidR="00486688">
              <w:rPr>
                <w:rFonts w:ascii="Calibri" w:hAnsi="Calibri" w:cs="Calibri"/>
                <w:sz w:val="20"/>
                <w:szCs w:val="20"/>
              </w:rPr>
              <w:t>5</w:t>
            </w:r>
            <w:r w:rsidRPr="00D15B1C">
              <w:rPr>
                <w:rFonts w:ascii="Calibri" w:hAnsi="Calibri" w:cs="Calibri"/>
                <w:sz w:val="20"/>
                <w:szCs w:val="20"/>
              </w:rPr>
              <w:t>: Evidence of strengthened workforce capability to provide rights based mental health support services and referrals.</w:t>
            </w:r>
          </w:p>
        </w:tc>
      </w:tr>
      <w:tr w:rsidR="00A12586" w:rsidRPr="00D15B1C" w14:paraId="75773943" w14:textId="77777777" w:rsidTr="00EF3229">
        <w:tc>
          <w:tcPr>
            <w:tcW w:w="9016" w:type="dxa"/>
            <w:gridSpan w:val="2"/>
            <w:shd w:val="clear" w:color="auto" w:fill="198F81"/>
          </w:tcPr>
          <w:p w14:paraId="7B909A2A" w14:textId="77777777" w:rsidR="00A12586" w:rsidRPr="00D15B1C" w:rsidRDefault="00A12586" w:rsidP="00EF3229">
            <w:pPr>
              <w:rPr>
                <w:rFonts w:ascii="Calibri" w:hAnsi="Calibri" w:cs="Calibri"/>
                <w:sz w:val="20"/>
                <w:szCs w:val="20"/>
              </w:rPr>
            </w:pPr>
            <w:r w:rsidRPr="00D15B1C">
              <w:rPr>
                <w:rFonts w:ascii="Calibri" w:hAnsi="Calibri" w:cs="Calibri"/>
                <w:b/>
                <w:bCs/>
                <w:color w:val="FFFFFF" w:themeColor="background1"/>
                <w:sz w:val="20"/>
                <w:szCs w:val="20"/>
              </w:rPr>
              <w:t>EOPO 3: Sexual and Reproductive Health and Rights</w:t>
            </w:r>
          </w:p>
        </w:tc>
      </w:tr>
      <w:tr w:rsidR="00A12586" w:rsidRPr="00D15B1C" w14:paraId="788E7355" w14:textId="77777777" w:rsidTr="00144B4A">
        <w:tc>
          <w:tcPr>
            <w:tcW w:w="4106" w:type="dxa"/>
          </w:tcPr>
          <w:p w14:paraId="79DCB0DA"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EOPO3: </w:t>
            </w:r>
            <w:r w:rsidRPr="00D15B1C">
              <w:rPr>
                <w:rFonts w:ascii="Calibri" w:hAnsi="Calibri" w:cs="Calibri"/>
                <w:b/>
                <w:bCs/>
                <w:i/>
                <w:iCs/>
                <w:sz w:val="20"/>
                <w:szCs w:val="20"/>
              </w:rPr>
              <w:t>Australian assistance contributes to increased capacity of partner countries to advance equitable and comprehensive SRHR, particularly for women and girls</w:t>
            </w:r>
          </w:p>
        </w:tc>
        <w:tc>
          <w:tcPr>
            <w:tcW w:w="4910" w:type="dxa"/>
          </w:tcPr>
          <w:p w14:paraId="2279A298" w14:textId="62B747BF"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9F734E">
              <w:rPr>
                <w:rFonts w:ascii="Calibri" w:hAnsi="Calibri" w:cs="Calibri"/>
                <w:sz w:val="20"/>
                <w:szCs w:val="20"/>
              </w:rPr>
              <w:t>2</w:t>
            </w:r>
            <w:r w:rsidR="00486688">
              <w:rPr>
                <w:rFonts w:ascii="Calibri" w:hAnsi="Calibri" w:cs="Calibri"/>
                <w:sz w:val="20"/>
                <w:szCs w:val="20"/>
              </w:rPr>
              <w:t xml:space="preserve">6: </w:t>
            </w:r>
            <w:r w:rsidRPr="00D15B1C">
              <w:rPr>
                <w:rFonts w:ascii="Calibri" w:hAnsi="Calibri" w:cs="Calibri"/>
                <w:sz w:val="20"/>
                <w:szCs w:val="20"/>
              </w:rPr>
              <w:t>Contraceptive protection (total couple years of protection) from unplanned pregnancies made available. (</w:t>
            </w:r>
            <w:r w:rsidRPr="00D15B1C">
              <w:rPr>
                <w:rFonts w:ascii="Calibri" w:hAnsi="Calibri" w:cs="Calibri"/>
                <w:i/>
                <w:iCs/>
                <w:sz w:val="20"/>
                <w:szCs w:val="20"/>
              </w:rPr>
              <w:t>Tier 2 indicator</w:t>
            </w:r>
            <w:r w:rsidRPr="00D15B1C">
              <w:rPr>
                <w:rFonts w:ascii="Calibri" w:hAnsi="Calibri" w:cs="Calibri"/>
                <w:sz w:val="20"/>
                <w:szCs w:val="20"/>
              </w:rPr>
              <w:t>)</w:t>
            </w:r>
          </w:p>
          <w:p w14:paraId="2F5F5D63" w14:textId="77777777" w:rsidR="00A12586" w:rsidRPr="00D15B1C" w:rsidRDefault="00A12586" w:rsidP="00EF3229">
            <w:pPr>
              <w:rPr>
                <w:rFonts w:ascii="Calibri" w:hAnsi="Calibri" w:cs="Calibri"/>
                <w:sz w:val="20"/>
                <w:szCs w:val="20"/>
              </w:rPr>
            </w:pPr>
          </w:p>
        </w:tc>
      </w:tr>
      <w:tr w:rsidR="00A12586" w:rsidRPr="00D15B1C" w14:paraId="486088B1" w14:textId="77777777" w:rsidTr="00144B4A">
        <w:tc>
          <w:tcPr>
            <w:tcW w:w="4106" w:type="dxa"/>
          </w:tcPr>
          <w:p w14:paraId="0BEB71F4"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3.1 </w:t>
            </w:r>
            <w:r w:rsidRPr="00D15B1C">
              <w:rPr>
                <w:rFonts w:ascii="Calibri" w:hAnsi="Calibri" w:cs="Calibri"/>
                <w:sz w:val="20"/>
                <w:szCs w:val="20"/>
              </w:rPr>
              <w:t>Improved systems and capabilities to deliver comprehensive, rights based SRH services and quality information and education</w:t>
            </w:r>
          </w:p>
        </w:tc>
        <w:tc>
          <w:tcPr>
            <w:tcW w:w="4910" w:type="dxa"/>
          </w:tcPr>
          <w:p w14:paraId="627F4AAC" w14:textId="2C77D7B8"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86688">
              <w:rPr>
                <w:rFonts w:ascii="Calibri" w:hAnsi="Calibri" w:cs="Calibri"/>
                <w:sz w:val="20"/>
                <w:szCs w:val="20"/>
              </w:rPr>
              <w:t>27:</w:t>
            </w:r>
            <w:r w:rsidRPr="00D15B1C">
              <w:rPr>
                <w:rFonts w:ascii="Calibri" w:hAnsi="Calibri" w:cs="Calibri"/>
                <w:sz w:val="20"/>
                <w:szCs w:val="20"/>
              </w:rPr>
              <w:t xml:space="preserve"> Evidence of strengthened health workforce skills/capacity in partner countries, in line with international good practice, to deliver comprehensive rights based SRH services.</w:t>
            </w:r>
          </w:p>
        </w:tc>
      </w:tr>
      <w:tr w:rsidR="00A12586" w:rsidRPr="00D15B1C" w14:paraId="0CA04076" w14:textId="77777777" w:rsidTr="00144B4A">
        <w:tc>
          <w:tcPr>
            <w:tcW w:w="4106" w:type="dxa"/>
          </w:tcPr>
          <w:p w14:paraId="3A68D0D5"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3.2 </w:t>
            </w:r>
            <w:r w:rsidRPr="00D15B1C">
              <w:rPr>
                <w:rFonts w:ascii="Calibri" w:hAnsi="Calibri" w:cs="Calibri"/>
                <w:sz w:val="20"/>
                <w:szCs w:val="20"/>
              </w:rPr>
              <w:t>Australia and partners</w:t>
            </w:r>
            <w:r w:rsidRPr="00D15B1C">
              <w:rPr>
                <w:rFonts w:ascii="Calibri" w:hAnsi="Calibri" w:cs="Calibri"/>
                <w:b/>
                <w:bCs/>
                <w:sz w:val="20"/>
                <w:szCs w:val="20"/>
              </w:rPr>
              <w:t xml:space="preserve"> </w:t>
            </w:r>
            <w:r w:rsidRPr="00D15B1C">
              <w:rPr>
                <w:rFonts w:ascii="Calibri" w:hAnsi="Calibri" w:cs="Calibri"/>
                <w:sz w:val="20"/>
                <w:szCs w:val="20"/>
              </w:rPr>
              <w:t>advocate for and support for strengthened legislative and policy environments that advance universal, equitable SRHR</w:t>
            </w:r>
          </w:p>
        </w:tc>
        <w:tc>
          <w:tcPr>
            <w:tcW w:w="4910" w:type="dxa"/>
          </w:tcPr>
          <w:p w14:paraId="62204FBF" w14:textId="66EF255E"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86688">
              <w:rPr>
                <w:rFonts w:ascii="Calibri" w:hAnsi="Calibri" w:cs="Calibri"/>
                <w:sz w:val="20"/>
                <w:szCs w:val="20"/>
              </w:rPr>
              <w:t>28</w:t>
            </w:r>
            <w:r w:rsidRPr="00D15B1C">
              <w:rPr>
                <w:rFonts w:ascii="Calibri" w:hAnsi="Calibri" w:cs="Calibri"/>
                <w:sz w:val="20"/>
                <w:szCs w:val="20"/>
              </w:rPr>
              <w:t>: Instances where DFAT and partners’ advocacy and support for strengthened enabling environments has advanced universal and equitable sexual and reproductive health and rights.</w:t>
            </w:r>
          </w:p>
        </w:tc>
      </w:tr>
      <w:tr w:rsidR="00A12586" w:rsidRPr="00D15B1C" w14:paraId="5E25FF8E" w14:textId="77777777" w:rsidTr="00144B4A">
        <w:tc>
          <w:tcPr>
            <w:tcW w:w="4106" w:type="dxa"/>
          </w:tcPr>
          <w:p w14:paraId="7AD59BD2" w14:textId="77777777" w:rsidR="00A12586" w:rsidRPr="00D15B1C" w:rsidRDefault="00A12586" w:rsidP="00EF3229">
            <w:pPr>
              <w:rPr>
                <w:rFonts w:ascii="Calibri" w:hAnsi="Calibri" w:cs="Calibri"/>
                <w:b/>
                <w:bCs/>
                <w:sz w:val="20"/>
                <w:szCs w:val="20"/>
              </w:rPr>
            </w:pPr>
            <w:r w:rsidRPr="00D15B1C">
              <w:rPr>
                <w:rFonts w:ascii="Calibri" w:hAnsi="Calibri" w:cs="Calibri"/>
                <w:b/>
                <w:bCs/>
                <w:sz w:val="20"/>
                <w:szCs w:val="20"/>
              </w:rPr>
              <w:t xml:space="preserve">IO 3.3 </w:t>
            </w:r>
            <w:r w:rsidRPr="00D15B1C">
              <w:rPr>
                <w:rFonts w:ascii="Calibri" w:hAnsi="Calibri" w:cs="Calibri"/>
                <w:sz w:val="20"/>
                <w:szCs w:val="20"/>
              </w:rPr>
              <w:t>Improved quality, range and availability of SRH commodities and services, particularly for women and girls</w:t>
            </w:r>
          </w:p>
        </w:tc>
        <w:tc>
          <w:tcPr>
            <w:tcW w:w="4910" w:type="dxa"/>
          </w:tcPr>
          <w:p w14:paraId="6FC7C6E4" w14:textId="685FD6BC"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86688">
              <w:rPr>
                <w:rFonts w:ascii="Calibri" w:hAnsi="Calibri" w:cs="Calibri"/>
                <w:sz w:val="20"/>
                <w:szCs w:val="20"/>
              </w:rPr>
              <w:t>29</w:t>
            </w:r>
            <w:r w:rsidRPr="00D15B1C">
              <w:rPr>
                <w:rFonts w:ascii="Calibri" w:hAnsi="Calibri" w:cs="Calibri"/>
                <w:sz w:val="20"/>
                <w:szCs w:val="20"/>
              </w:rPr>
              <w:t>: Evidence of increased range and quality of SRH commodities being accessed by partner country populations, increasing SRH choices.</w:t>
            </w:r>
          </w:p>
        </w:tc>
      </w:tr>
      <w:tr w:rsidR="00A12586" w:rsidRPr="00D15B1C" w14:paraId="41AF5933" w14:textId="77777777" w:rsidTr="00EF3229">
        <w:tc>
          <w:tcPr>
            <w:tcW w:w="9016" w:type="dxa"/>
            <w:gridSpan w:val="2"/>
            <w:shd w:val="clear" w:color="auto" w:fill="198F81"/>
          </w:tcPr>
          <w:p w14:paraId="72C9C59F" w14:textId="77777777" w:rsidR="00A12586" w:rsidRPr="00D15B1C" w:rsidRDefault="00A12586" w:rsidP="00EF3229">
            <w:pPr>
              <w:suppressAutoHyphens/>
              <w:spacing w:after="120"/>
              <w:rPr>
                <w:rFonts w:ascii="Calibri" w:hAnsi="Calibri" w:cs="Calibri"/>
                <w:sz w:val="20"/>
                <w:szCs w:val="20"/>
              </w:rPr>
            </w:pPr>
            <w:r w:rsidRPr="00D15B1C">
              <w:rPr>
                <w:rFonts w:ascii="Calibri" w:hAnsi="Calibri" w:cs="Calibri"/>
                <w:b/>
                <w:bCs/>
                <w:color w:val="FFFFFF" w:themeColor="background1"/>
                <w:sz w:val="20"/>
                <w:szCs w:val="20"/>
              </w:rPr>
              <w:t>EOPO 4: Resilient Health Systems</w:t>
            </w:r>
          </w:p>
        </w:tc>
      </w:tr>
      <w:tr w:rsidR="00A12586" w:rsidRPr="00D15B1C" w14:paraId="47CFD085" w14:textId="77777777" w:rsidTr="00144B4A">
        <w:tc>
          <w:tcPr>
            <w:tcW w:w="4106" w:type="dxa"/>
            <w:vMerge w:val="restart"/>
          </w:tcPr>
          <w:p w14:paraId="7EFDDDDA" w14:textId="77777777" w:rsidR="00A12586" w:rsidRPr="00D15B1C" w:rsidRDefault="00A12586" w:rsidP="00EF3229">
            <w:pPr>
              <w:rPr>
                <w:rFonts w:ascii="Calibri" w:hAnsi="Calibri" w:cs="Calibri"/>
                <w:b/>
                <w:bCs/>
                <w:sz w:val="20"/>
                <w:szCs w:val="20"/>
              </w:rPr>
            </w:pPr>
            <w:r w:rsidRPr="00D15B1C">
              <w:rPr>
                <w:rFonts w:ascii="Calibri" w:eastAsia="Times New Roman" w:hAnsi="Calibri" w:cs="Calibri"/>
                <w:b/>
                <w:bCs/>
                <w:i/>
                <w:iCs/>
                <w:sz w:val="20"/>
                <w:szCs w:val="20"/>
                <w:lang w:eastAsia="en-AU"/>
              </w:rPr>
              <w:t>EOPO4: Australian assistance contributes to partner countries improved regulatory mechanisms, data systems, and capabilities to deliver equitable public health action</w:t>
            </w:r>
          </w:p>
        </w:tc>
        <w:tc>
          <w:tcPr>
            <w:tcW w:w="4910" w:type="dxa"/>
          </w:tcPr>
          <w:p w14:paraId="6C34FCB6" w14:textId="5EDF5F05"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86688">
              <w:rPr>
                <w:rFonts w:ascii="Calibri" w:hAnsi="Calibri" w:cs="Calibri"/>
                <w:sz w:val="20"/>
                <w:szCs w:val="20"/>
              </w:rPr>
              <w:t>30</w:t>
            </w:r>
            <w:r w:rsidRPr="00D15B1C">
              <w:rPr>
                <w:rFonts w:ascii="Calibri" w:hAnsi="Calibri" w:cs="Calibri"/>
                <w:sz w:val="20"/>
                <w:szCs w:val="20"/>
              </w:rPr>
              <w:t>: Evidence of improved health system capacity to provide quality, accessible, affordable health services. (</w:t>
            </w:r>
            <w:r w:rsidRPr="00D15B1C">
              <w:rPr>
                <w:rFonts w:ascii="Calibri" w:hAnsi="Calibri" w:cs="Calibri"/>
                <w:i/>
                <w:iCs/>
                <w:sz w:val="20"/>
                <w:szCs w:val="20"/>
              </w:rPr>
              <w:t>Tier 2 Indicator</w:t>
            </w:r>
            <w:r w:rsidRPr="00D15B1C">
              <w:rPr>
                <w:rFonts w:ascii="Calibri" w:hAnsi="Calibri" w:cs="Calibri"/>
                <w:sz w:val="20"/>
                <w:szCs w:val="20"/>
              </w:rPr>
              <w:t>) </w:t>
            </w:r>
          </w:p>
        </w:tc>
      </w:tr>
      <w:tr w:rsidR="00A12586" w:rsidRPr="00D15B1C" w14:paraId="6A414C39" w14:textId="77777777" w:rsidTr="00144B4A">
        <w:tc>
          <w:tcPr>
            <w:tcW w:w="4106" w:type="dxa"/>
            <w:vMerge/>
          </w:tcPr>
          <w:p w14:paraId="0A7F68A5" w14:textId="77777777" w:rsidR="00A12586" w:rsidRPr="00D15B1C" w:rsidRDefault="00A12586" w:rsidP="00EF3229">
            <w:pPr>
              <w:rPr>
                <w:rFonts w:ascii="Calibri" w:eastAsia="Times New Roman" w:hAnsi="Calibri" w:cs="Calibri"/>
                <w:b/>
                <w:bCs/>
                <w:i/>
                <w:iCs/>
                <w:sz w:val="20"/>
                <w:szCs w:val="20"/>
                <w:lang w:eastAsia="en-AU"/>
              </w:rPr>
            </w:pPr>
          </w:p>
        </w:tc>
        <w:tc>
          <w:tcPr>
            <w:tcW w:w="4910" w:type="dxa"/>
          </w:tcPr>
          <w:p w14:paraId="54DE2BC0" w14:textId="4444C57E"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FC14DF">
              <w:rPr>
                <w:rFonts w:ascii="Calibri" w:hAnsi="Calibri" w:cs="Calibri"/>
                <w:sz w:val="20"/>
                <w:szCs w:val="20"/>
              </w:rPr>
              <w:t>3</w:t>
            </w:r>
            <w:r w:rsidR="004E45E4">
              <w:rPr>
                <w:rFonts w:ascii="Calibri" w:hAnsi="Calibri" w:cs="Calibri"/>
                <w:sz w:val="20"/>
                <w:szCs w:val="20"/>
              </w:rPr>
              <w:t>1</w:t>
            </w:r>
            <w:r w:rsidRPr="00D15B1C">
              <w:rPr>
                <w:rFonts w:ascii="Calibri" w:hAnsi="Calibri" w:cs="Calibri"/>
                <w:sz w:val="20"/>
                <w:szCs w:val="20"/>
              </w:rPr>
              <w:t xml:space="preserve">: Evidence of strengthened health system capabilities to promote climate resilience and health emergency preparedness. </w:t>
            </w:r>
          </w:p>
        </w:tc>
      </w:tr>
      <w:tr w:rsidR="00A12586" w:rsidRPr="00D15B1C" w14:paraId="650F7173" w14:textId="77777777" w:rsidTr="00144B4A">
        <w:tc>
          <w:tcPr>
            <w:tcW w:w="4106" w:type="dxa"/>
            <w:vMerge/>
          </w:tcPr>
          <w:p w14:paraId="661620FD" w14:textId="77777777" w:rsidR="00A12586" w:rsidRPr="00D15B1C" w:rsidRDefault="00A12586" w:rsidP="00EF3229">
            <w:pPr>
              <w:rPr>
                <w:rFonts w:ascii="Calibri" w:eastAsia="Times New Roman" w:hAnsi="Calibri" w:cs="Calibri"/>
                <w:b/>
                <w:bCs/>
                <w:i/>
                <w:iCs/>
                <w:sz w:val="20"/>
                <w:szCs w:val="20"/>
                <w:lang w:eastAsia="en-AU"/>
              </w:rPr>
            </w:pPr>
          </w:p>
        </w:tc>
        <w:tc>
          <w:tcPr>
            <w:tcW w:w="4910" w:type="dxa"/>
          </w:tcPr>
          <w:p w14:paraId="79FC7488" w14:textId="04BD81A5"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#3</w:t>
            </w:r>
            <w:r w:rsidR="004E45E4">
              <w:rPr>
                <w:rFonts w:ascii="Calibri" w:hAnsi="Calibri" w:cs="Calibri"/>
                <w:sz w:val="20"/>
                <w:szCs w:val="20"/>
              </w:rPr>
              <w:t>2</w:t>
            </w:r>
            <w:r w:rsidRPr="00D15B1C">
              <w:rPr>
                <w:rFonts w:ascii="Calibri" w:hAnsi="Calibri" w:cs="Calibri"/>
                <w:sz w:val="20"/>
                <w:szCs w:val="20"/>
              </w:rPr>
              <w:t xml:space="preserve">: Instances where information/data on gender, disability and other social determinants of health is used to inform decisions on health policies and programs. </w:t>
            </w:r>
          </w:p>
        </w:tc>
      </w:tr>
      <w:tr w:rsidR="00A12586" w:rsidRPr="00D15B1C" w14:paraId="44CD44E2" w14:textId="77777777" w:rsidTr="00144B4A">
        <w:tc>
          <w:tcPr>
            <w:tcW w:w="4106" w:type="dxa"/>
            <w:vMerge w:val="restart"/>
          </w:tcPr>
          <w:p w14:paraId="1C804649" w14:textId="77777777" w:rsidR="00A12586" w:rsidRPr="00D15B1C" w:rsidRDefault="00A12586" w:rsidP="00EF3229">
            <w:pPr>
              <w:rPr>
                <w:rFonts w:ascii="Calibri" w:eastAsia="Times New Roman" w:hAnsi="Calibri" w:cs="Calibri"/>
                <w:b/>
                <w:bCs/>
                <w:i/>
                <w:iCs/>
                <w:sz w:val="20"/>
                <w:szCs w:val="20"/>
                <w:lang w:eastAsia="en-AU"/>
              </w:rPr>
            </w:pPr>
            <w:r w:rsidRPr="00D15B1C">
              <w:rPr>
                <w:rFonts w:ascii="Calibri" w:hAnsi="Calibri" w:cs="Calibri"/>
                <w:b/>
                <w:bCs/>
                <w:sz w:val="20"/>
                <w:szCs w:val="20"/>
              </w:rPr>
              <w:t>IO 4.1</w:t>
            </w:r>
            <w:r w:rsidRPr="00D15B1C">
              <w:rPr>
                <w:rFonts w:ascii="Calibri" w:hAnsi="Calibri" w:cs="Calibri"/>
                <w:sz w:val="20"/>
                <w:szCs w:val="20"/>
              </w:rPr>
              <w:t xml:space="preserve"> Improved regulatory systems increase the availability of high quality safe, effective and essential medicines and products</w:t>
            </w:r>
          </w:p>
        </w:tc>
        <w:tc>
          <w:tcPr>
            <w:tcW w:w="4910" w:type="dxa"/>
          </w:tcPr>
          <w:p w14:paraId="00151B84" w14:textId="645E0E63" w:rsidR="00A12586" w:rsidRPr="00D15B1C" w:rsidRDefault="00A12586" w:rsidP="00EF3229">
            <w:pPr>
              <w:suppressAutoHyphens/>
              <w:spacing w:after="120"/>
              <w:rPr>
                <w:rFonts w:ascii="Calibri" w:hAnsi="Calibri" w:cs="Calibri"/>
                <w:sz w:val="20"/>
                <w:szCs w:val="20"/>
              </w:rPr>
            </w:pPr>
            <w:r w:rsidRPr="00D15B1C">
              <w:rPr>
                <w:rFonts w:ascii="Calibri" w:eastAsia="Times New Roman" w:hAnsi="Calibri" w:cs="Calibri"/>
                <w:sz w:val="20"/>
                <w:szCs w:val="20"/>
                <w:lang w:eastAsia="en-AU"/>
              </w:rPr>
              <w:t>#</w:t>
            </w:r>
            <w:r w:rsidR="001F34BF">
              <w:rPr>
                <w:rFonts w:ascii="Calibri" w:eastAsia="Times New Roman" w:hAnsi="Calibri" w:cs="Calibri"/>
                <w:sz w:val="20"/>
                <w:szCs w:val="20"/>
                <w:lang w:eastAsia="en-AU"/>
              </w:rPr>
              <w:t>3</w:t>
            </w:r>
            <w:r w:rsidR="004E45E4">
              <w:rPr>
                <w:rFonts w:ascii="Calibri" w:eastAsia="Times New Roman" w:hAnsi="Calibri" w:cs="Calibri"/>
                <w:sz w:val="20"/>
                <w:szCs w:val="20"/>
                <w:lang w:eastAsia="en-AU"/>
              </w:rPr>
              <w:t>3</w:t>
            </w:r>
            <w:r w:rsidRPr="00D15B1C">
              <w:rPr>
                <w:rFonts w:ascii="Calibri" w:eastAsia="Times New Roman" w:hAnsi="Calibri" w:cs="Calibri"/>
                <w:sz w:val="20"/>
                <w:szCs w:val="20"/>
                <w:lang w:eastAsia="en-AU"/>
              </w:rPr>
              <w:t>: Number of new medical products that are registered and available to support disease control and improved health outcome.</w:t>
            </w:r>
          </w:p>
        </w:tc>
      </w:tr>
      <w:tr w:rsidR="00A12586" w:rsidRPr="00D15B1C" w14:paraId="1EFB9935" w14:textId="77777777" w:rsidTr="00144B4A">
        <w:tc>
          <w:tcPr>
            <w:tcW w:w="4106" w:type="dxa"/>
            <w:vMerge/>
          </w:tcPr>
          <w:p w14:paraId="11D87935" w14:textId="77777777" w:rsidR="00A12586" w:rsidRPr="00D15B1C" w:rsidRDefault="00A12586" w:rsidP="00EF3229">
            <w:pPr>
              <w:rPr>
                <w:rFonts w:ascii="Calibri" w:hAnsi="Calibri" w:cs="Calibri"/>
                <w:b/>
                <w:bCs/>
                <w:sz w:val="20"/>
                <w:szCs w:val="20"/>
              </w:rPr>
            </w:pPr>
          </w:p>
        </w:tc>
        <w:tc>
          <w:tcPr>
            <w:tcW w:w="4910" w:type="dxa"/>
          </w:tcPr>
          <w:p w14:paraId="38AEA4F8" w14:textId="450F0BB5" w:rsidR="00A12586" w:rsidRPr="00D15B1C" w:rsidRDefault="00A12586" w:rsidP="00EF3229">
            <w:pPr>
              <w:suppressAutoHyphens/>
              <w:spacing w:after="120"/>
              <w:rPr>
                <w:rFonts w:ascii="Calibri" w:eastAsia="Times New Roman" w:hAnsi="Calibri" w:cs="Calibri"/>
                <w:sz w:val="20"/>
                <w:szCs w:val="20"/>
                <w:lang w:eastAsia="en-AU"/>
              </w:rPr>
            </w:pPr>
            <w:r w:rsidRPr="00D15B1C">
              <w:rPr>
                <w:rFonts w:ascii="Calibri" w:eastAsia="Times New Roman" w:hAnsi="Calibri" w:cs="Calibri"/>
                <w:sz w:val="20"/>
                <w:szCs w:val="20"/>
              </w:rPr>
              <w:t>#</w:t>
            </w:r>
            <w:r w:rsidR="001F34BF">
              <w:rPr>
                <w:rFonts w:ascii="Calibri" w:eastAsia="Times New Roman" w:hAnsi="Calibri" w:cs="Calibri"/>
                <w:sz w:val="20"/>
                <w:szCs w:val="20"/>
              </w:rPr>
              <w:t>3</w:t>
            </w:r>
            <w:r w:rsidR="004E45E4">
              <w:rPr>
                <w:rFonts w:ascii="Calibri" w:eastAsia="Times New Roman" w:hAnsi="Calibri" w:cs="Calibri"/>
                <w:sz w:val="20"/>
                <w:szCs w:val="20"/>
              </w:rPr>
              <w:t>4</w:t>
            </w:r>
            <w:r w:rsidRPr="00D15B1C">
              <w:rPr>
                <w:rFonts w:ascii="Calibri" w:eastAsia="Times New Roman" w:hAnsi="Calibri" w:cs="Calibri"/>
                <w:sz w:val="20"/>
                <w:szCs w:val="20"/>
              </w:rPr>
              <w:t>: Evidence of improved regulatory practice as a result of business process and system improvements.</w:t>
            </w:r>
          </w:p>
        </w:tc>
      </w:tr>
      <w:tr w:rsidR="00A12586" w:rsidRPr="00D15B1C" w14:paraId="25D83EB8" w14:textId="77777777" w:rsidTr="00144B4A">
        <w:tc>
          <w:tcPr>
            <w:tcW w:w="4106" w:type="dxa"/>
            <w:vMerge w:val="restart"/>
          </w:tcPr>
          <w:p w14:paraId="35315B4C" w14:textId="77777777" w:rsidR="00A12586" w:rsidRPr="00D15B1C" w:rsidRDefault="00A12586" w:rsidP="00EF3229">
            <w:pPr>
              <w:rPr>
                <w:rFonts w:ascii="Calibri" w:hAnsi="Calibri" w:cs="Calibri"/>
                <w:b/>
                <w:bCs/>
                <w:sz w:val="20"/>
                <w:szCs w:val="20"/>
              </w:rPr>
            </w:pPr>
            <w:r w:rsidRPr="00D15B1C">
              <w:rPr>
                <w:rFonts w:ascii="Calibri" w:eastAsia="Times New Roman" w:hAnsi="Calibri" w:cs="Calibri"/>
                <w:b/>
                <w:bCs/>
                <w:sz w:val="20"/>
                <w:szCs w:val="20"/>
                <w:lang w:eastAsia="en-AU"/>
              </w:rPr>
              <w:t xml:space="preserve">IO 4.2 </w:t>
            </w:r>
            <w:r w:rsidRPr="00D15B1C">
              <w:rPr>
                <w:rFonts w:ascii="Calibri" w:eastAsia="Times New Roman" w:hAnsi="Calibri" w:cs="Calibri"/>
                <w:sz w:val="20"/>
                <w:szCs w:val="20"/>
                <w:lang w:eastAsia="en-AU"/>
              </w:rPr>
              <w:t>Strengthened data systems, with quality data increasingly informing evidence-based decision making to enhance health policy and programming</w:t>
            </w:r>
            <w:r w:rsidRPr="00D15B1C">
              <w:rPr>
                <w:rFonts w:ascii="Calibri" w:eastAsia="Times New Roman" w:hAnsi="Calibri" w:cs="Calibri"/>
                <w:b/>
                <w:bCs/>
                <w:sz w:val="20"/>
                <w:szCs w:val="20"/>
                <w:lang w:eastAsia="en-AU"/>
              </w:rPr>
              <w:t xml:space="preserve"> </w:t>
            </w:r>
          </w:p>
        </w:tc>
        <w:tc>
          <w:tcPr>
            <w:tcW w:w="4910" w:type="dxa"/>
          </w:tcPr>
          <w:p w14:paraId="418852AB" w14:textId="72485CF9" w:rsidR="00A12586" w:rsidRPr="00D15B1C" w:rsidRDefault="00A12586" w:rsidP="00EF3229">
            <w:pPr>
              <w:suppressAutoHyphens/>
              <w:spacing w:after="120"/>
              <w:rPr>
                <w:rFonts w:ascii="Calibri" w:eastAsia="Times New Roman" w:hAnsi="Calibri" w:cs="Calibri"/>
                <w:sz w:val="20"/>
                <w:szCs w:val="20"/>
              </w:rPr>
            </w:pPr>
            <w:r w:rsidRPr="00D15B1C">
              <w:rPr>
                <w:rFonts w:ascii="Calibri" w:hAnsi="Calibri" w:cs="Calibri"/>
                <w:sz w:val="20"/>
                <w:szCs w:val="20"/>
              </w:rPr>
              <w:t>#</w:t>
            </w:r>
            <w:r w:rsidR="001F34BF">
              <w:rPr>
                <w:rFonts w:ascii="Calibri" w:hAnsi="Calibri" w:cs="Calibri"/>
                <w:sz w:val="20"/>
                <w:szCs w:val="20"/>
              </w:rPr>
              <w:t>3</w:t>
            </w:r>
            <w:r w:rsidR="004E45E4">
              <w:rPr>
                <w:rFonts w:ascii="Calibri" w:hAnsi="Calibri" w:cs="Calibri"/>
                <w:sz w:val="20"/>
                <w:szCs w:val="20"/>
              </w:rPr>
              <w:t>5</w:t>
            </w:r>
            <w:r w:rsidRPr="00D15B1C">
              <w:rPr>
                <w:rFonts w:ascii="Calibri" w:hAnsi="Calibri" w:cs="Calibri"/>
                <w:sz w:val="20"/>
                <w:szCs w:val="20"/>
              </w:rPr>
              <w:t>: Evidence of strengthened health information systems.</w:t>
            </w:r>
            <w:r w:rsidRPr="00D15B1C">
              <w:rPr>
                <w:rStyle w:val="FootnoteReference"/>
                <w:rFonts w:ascii="Calibri" w:hAnsi="Calibri" w:cs="Calibri"/>
                <w:sz w:val="20"/>
                <w:szCs w:val="20"/>
              </w:rPr>
              <w:footnoteReference w:id="2"/>
            </w:r>
          </w:p>
        </w:tc>
      </w:tr>
      <w:tr w:rsidR="00A12586" w:rsidRPr="00D15B1C" w14:paraId="2D62D14A" w14:textId="77777777" w:rsidTr="00144B4A">
        <w:tc>
          <w:tcPr>
            <w:tcW w:w="4106" w:type="dxa"/>
            <w:vMerge/>
          </w:tcPr>
          <w:p w14:paraId="73EACF17" w14:textId="77777777" w:rsidR="00A12586" w:rsidRPr="00D15B1C" w:rsidRDefault="00A12586" w:rsidP="00EF3229">
            <w:pPr>
              <w:rPr>
                <w:rFonts w:ascii="Calibri" w:eastAsia="Times New Roman" w:hAnsi="Calibri" w:cs="Calibri"/>
                <w:b/>
                <w:bCs/>
                <w:sz w:val="20"/>
                <w:szCs w:val="20"/>
                <w:lang w:eastAsia="en-AU"/>
              </w:rPr>
            </w:pPr>
          </w:p>
        </w:tc>
        <w:tc>
          <w:tcPr>
            <w:tcW w:w="4910" w:type="dxa"/>
          </w:tcPr>
          <w:p w14:paraId="121792AE" w14:textId="3BD915DF"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1F34BF">
              <w:rPr>
                <w:rFonts w:ascii="Calibri" w:hAnsi="Calibri" w:cs="Calibri"/>
                <w:sz w:val="20"/>
                <w:szCs w:val="20"/>
              </w:rPr>
              <w:t>3</w:t>
            </w:r>
            <w:r w:rsidR="004E45E4">
              <w:rPr>
                <w:rFonts w:ascii="Calibri" w:hAnsi="Calibri" w:cs="Calibri"/>
                <w:sz w:val="20"/>
                <w:szCs w:val="20"/>
              </w:rPr>
              <w:t>6</w:t>
            </w:r>
            <w:r w:rsidRPr="00D15B1C">
              <w:rPr>
                <w:rFonts w:ascii="Calibri" w:hAnsi="Calibri" w:cs="Calibri"/>
                <w:sz w:val="20"/>
                <w:szCs w:val="20"/>
              </w:rPr>
              <w:t>: Evidence of partner countries utilising data to better inform decision-making, including for prevention and early warning systems.</w:t>
            </w:r>
          </w:p>
        </w:tc>
      </w:tr>
      <w:tr w:rsidR="00A12586" w:rsidRPr="00D15B1C" w14:paraId="479750A9" w14:textId="77777777" w:rsidTr="00144B4A">
        <w:tc>
          <w:tcPr>
            <w:tcW w:w="4106" w:type="dxa"/>
            <w:vMerge w:val="restart"/>
          </w:tcPr>
          <w:p w14:paraId="4303C093" w14:textId="77777777" w:rsidR="00A12586" w:rsidRPr="00D15B1C" w:rsidRDefault="00A12586" w:rsidP="00EF3229">
            <w:pPr>
              <w:rPr>
                <w:rFonts w:ascii="Calibri" w:eastAsia="Times New Roman" w:hAnsi="Calibri" w:cs="Calibri"/>
                <w:b/>
                <w:bCs/>
                <w:sz w:val="20"/>
                <w:szCs w:val="20"/>
                <w:lang w:eastAsia="en-AU"/>
              </w:rPr>
            </w:pPr>
            <w:r w:rsidRPr="00D15B1C">
              <w:rPr>
                <w:rFonts w:ascii="Calibri" w:eastAsia="Times New Roman" w:hAnsi="Calibri" w:cs="Calibri"/>
                <w:b/>
                <w:bCs/>
                <w:sz w:val="20"/>
                <w:szCs w:val="20"/>
                <w:lang w:eastAsia="en-AU"/>
              </w:rPr>
              <w:t xml:space="preserve">IO 4.3 </w:t>
            </w:r>
            <w:r w:rsidRPr="00D15B1C">
              <w:rPr>
                <w:rFonts w:ascii="Calibri" w:eastAsia="Times New Roman" w:hAnsi="Calibri" w:cs="Calibri"/>
                <w:sz w:val="20"/>
                <w:szCs w:val="20"/>
                <w:lang w:eastAsia="en-AU"/>
              </w:rPr>
              <w:t>Workforce skills enhanced across key areas, addressing partner government priority needs  </w:t>
            </w:r>
          </w:p>
        </w:tc>
        <w:tc>
          <w:tcPr>
            <w:tcW w:w="4910" w:type="dxa"/>
          </w:tcPr>
          <w:p w14:paraId="01FFA631" w14:textId="2F0A5767"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E45E4">
              <w:rPr>
                <w:rFonts w:ascii="Calibri" w:hAnsi="Calibri" w:cs="Calibri"/>
                <w:sz w:val="20"/>
                <w:szCs w:val="20"/>
              </w:rPr>
              <w:t>37</w:t>
            </w:r>
            <w:r w:rsidRPr="00D15B1C">
              <w:rPr>
                <w:rFonts w:ascii="Calibri" w:hAnsi="Calibri" w:cs="Calibri"/>
                <w:sz w:val="20"/>
                <w:szCs w:val="20"/>
              </w:rPr>
              <w:t>: Evidence of strengthened national or regional health workforce capacity, aligned with country and regional workforce strategies. (</w:t>
            </w:r>
            <w:r w:rsidRPr="00D15B1C">
              <w:rPr>
                <w:rFonts w:ascii="Calibri" w:hAnsi="Calibri" w:cs="Calibri"/>
                <w:i/>
                <w:iCs/>
                <w:sz w:val="20"/>
                <w:szCs w:val="20"/>
              </w:rPr>
              <w:t>JEE D.4.3</w:t>
            </w:r>
            <w:r w:rsidRPr="00D15B1C">
              <w:rPr>
                <w:rFonts w:ascii="Calibri" w:hAnsi="Calibri" w:cs="Calibri"/>
                <w:sz w:val="20"/>
                <w:szCs w:val="20"/>
              </w:rPr>
              <w:t xml:space="preserve">) </w:t>
            </w:r>
          </w:p>
        </w:tc>
      </w:tr>
      <w:tr w:rsidR="00A12586" w:rsidRPr="00D15B1C" w14:paraId="6B90E2F7" w14:textId="77777777" w:rsidTr="00144B4A">
        <w:tc>
          <w:tcPr>
            <w:tcW w:w="4106" w:type="dxa"/>
            <w:vMerge/>
          </w:tcPr>
          <w:p w14:paraId="12FE3958" w14:textId="77777777" w:rsidR="00A12586" w:rsidRPr="00D15B1C" w:rsidRDefault="00A12586" w:rsidP="00EF3229">
            <w:pPr>
              <w:rPr>
                <w:rFonts w:ascii="Calibri" w:eastAsia="Times New Roman" w:hAnsi="Calibri" w:cs="Calibri"/>
                <w:b/>
                <w:bCs/>
                <w:sz w:val="20"/>
                <w:szCs w:val="20"/>
                <w:lang w:eastAsia="en-AU"/>
              </w:rPr>
            </w:pPr>
          </w:p>
        </w:tc>
        <w:tc>
          <w:tcPr>
            <w:tcW w:w="4910" w:type="dxa"/>
          </w:tcPr>
          <w:p w14:paraId="3DEA9632" w14:textId="6F6B2A2D"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E45E4">
              <w:rPr>
                <w:rFonts w:ascii="Calibri" w:hAnsi="Calibri" w:cs="Calibri"/>
                <w:sz w:val="20"/>
                <w:szCs w:val="20"/>
              </w:rPr>
              <w:t>38</w:t>
            </w:r>
            <w:r w:rsidRPr="00D15B1C">
              <w:rPr>
                <w:rFonts w:ascii="Calibri" w:hAnsi="Calibri" w:cs="Calibri"/>
                <w:sz w:val="20"/>
                <w:szCs w:val="20"/>
              </w:rPr>
              <w:t>: # of people (sex/disability) trained in delivering quality and accessible health services.</w:t>
            </w:r>
            <w:r w:rsidRPr="00D15B1C">
              <w:rPr>
                <w:rStyle w:val="FootnoteReference"/>
                <w:rFonts w:ascii="Calibri" w:hAnsi="Calibri" w:cs="Calibri"/>
                <w:sz w:val="20"/>
                <w:szCs w:val="20"/>
              </w:rPr>
              <w:footnoteReference w:id="3"/>
            </w:r>
          </w:p>
        </w:tc>
      </w:tr>
      <w:tr w:rsidR="00A12586" w:rsidRPr="00D15B1C" w14:paraId="409A4492" w14:textId="77777777" w:rsidTr="00144B4A">
        <w:tc>
          <w:tcPr>
            <w:tcW w:w="4106" w:type="dxa"/>
            <w:vMerge w:val="restart"/>
          </w:tcPr>
          <w:p w14:paraId="305FFFAA" w14:textId="77777777" w:rsidR="00A12586" w:rsidRPr="00D15B1C" w:rsidRDefault="00A12586" w:rsidP="00EF3229">
            <w:pPr>
              <w:rPr>
                <w:rFonts w:ascii="Calibri" w:eastAsia="Times New Roman" w:hAnsi="Calibri" w:cs="Calibri"/>
                <w:b/>
                <w:bCs/>
                <w:sz w:val="20"/>
                <w:szCs w:val="20"/>
                <w:lang w:eastAsia="en-AU"/>
              </w:rPr>
            </w:pPr>
            <w:r w:rsidRPr="00D15B1C">
              <w:rPr>
                <w:rFonts w:ascii="Calibri" w:eastAsia="Times New Roman" w:hAnsi="Calibri" w:cs="Calibri"/>
                <w:b/>
                <w:bCs/>
                <w:sz w:val="20"/>
                <w:szCs w:val="20"/>
                <w:lang w:eastAsia="en-AU"/>
              </w:rPr>
              <w:lastRenderedPageBreak/>
              <w:t xml:space="preserve">IO 4.4 </w:t>
            </w:r>
            <w:r w:rsidRPr="00D15B1C">
              <w:rPr>
                <w:rFonts w:ascii="Calibri" w:eastAsia="Times New Roman" w:hAnsi="Calibri" w:cs="Calibri"/>
                <w:sz w:val="20"/>
                <w:szCs w:val="20"/>
                <w:lang w:eastAsia="en-AU"/>
              </w:rPr>
              <w:t>High quality advice made available to meet partner needs, including by deployees</w:t>
            </w:r>
          </w:p>
        </w:tc>
        <w:tc>
          <w:tcPr>
            <w:tcW w:w="4910" w:type="dxa"/>
          </w:tcPr>
          <w:p w14:paraId="6DDFDFD1" w14:textId="2806C157"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E45E4">
              <w:rPr>
                <w:rFonts w:ascii="Calibri" w:hAnsi="Calibri" w:cs="Calibri"/>
                <w:sz w:val="20"/>
                <w:szCs w:val="20"/>
              </w:rPr>
              <w:t>39</w:t>
            </w:r>
            <w:r w:rsidRPr="00D15B1C">
              <w:rPr>
                <w:rFonts w:ascii="Calibri" w:hAnsi="Calibri" w:cs="Calibri"/>
                <w:sz w:val="20"/>
                <w:szCs w:val="20"/>
              </w:rPr>
              <w:t>: Evidence that technical advice provided by partners is used by partner governments.</w:t>
            </w:r>
          </w:p>
        </w:tc>
      </w:tr>
      <w:tr w:rsidR="00A12586" w:rsidRPr="00D15B1C" w14:paraId="6591445D" w14:textId="77777777" w:rsidTr="00144B4A">
        <w:tc>
          <w:tcPr>
            <w:tcW w:w="4106" w:type="dxa"/>
            <w:vMerge/>
          </w:tcPr>
          <w:p w14:paraId="79456163" w14:textId="77777777" w:rsidR="00A12586" w:rsidRPr="00D15B1C" w:rsidRDefault="00A12586" w:rsidP="00EF3229">
            <w:pPr>
              <w:rPr>
                <w:rFonts w:ascii="Calibri" w:eastAsia="Times New Roman" w:hAnsi="Calibri" w:cs="Calibri"/>
                <w:b/>
                <w:bCs/>
                <w:sz w:val="20"/>
                <w:szCs w:val="20"/>
                <w:lang w:eastAsia="en-AU"/>
              </w:rPr>
            </w:pPr>
          </w:p>
        </w:tc>
        <w:tc>
          <w:tcPr>
            <w:tcW w:w="4910" w:type="dxa"/>
          </w:tcPr>
          <w:p w14:paraId="75B616B0" w14:textId="140AB97F" w:rsidR="00A12586" w:rsidRPr="00D15B1C" w:rsidRDefault="00A12586" w:rsidP="00EF3229">
            <w:pPr>
              <w:suppressAutoHyphens/>
              <w:spacing w:after="120"/>
              <w:rPr>
                <w:rFonts w:ascii="Calibri" w:hAnsi="Calibri" w:cs="Calibri"/>
                <w:sz w:val="20"/>
                <w:szCs w:val="20"/>
              </w:rPr>
            </w:pPr>
            <w:r w:rsidRPr="00D15B1C">
              <w:rPr>
                <w:rFonts w:ascii="Calibri" w:hAnsi="Calibri" w:cs="Calibri"/>
                <w:sz w:val="20"/>
                <w:szCs w:val="20"/>
              </w:rPr>
              <w:t>#</w:t>
            </w:r>
            <w:r w:rsidR="004E45E4">
              <w:rPr>
                <w:rFonts w:ascii="Calibri" w:hAnsi="Calibri" w:cs="Calibri"/>
                <w:sz w:val="20"/>
                <w:szCs w:val="20"/>
              </w:rPr>
              <w:t>40</w:t>
            </w:r>
            <w:r w:rsidRPr="00D15B1C">
              <w:rPr>
                <w:rFonts w:ascii="Calibri" w:hAnsi="Calibri" w:cs="Calibri"/>
                <w:sz w:val="20"/>
                <w:szCs w:val="20"/>
              </w:rPr>
              <w:t>: Number of public health experts (sex/disability) from the Pacific and Southeast Asia trained to be deployed to a public health emergency.</w:t>
            </w:r>
          </w:p>
        </w:tc>
      </w:tr>
    </w:tbl>
    <w:p w14:paraId="2E394682" w14:textId="77777777" w:rsidR="00C73F86" w:rsidRPr="00A64EB9" w:rsidRDefault="00C73F86" w:rsidP="00A64EB9">
      <w:pPr>
        <w:rPr>
          <w:rFonts w:cstheme="minorHAnsi"/>
          <w:b/>
          <w:bCs/>
          <w:color w:val="4472C4" w:themeColor="accent1"/>
        </w:rPr>
      </w:pPr>
    </w:p>
    <w:p w14:paraId="108A2C88" w14:textId="689998D5" w:rsidR="00154BE5" w:rsidRPr="00D15B1C" w:rsidRDefault="00743A2C" w:rsidP="00C84FEF">
      <w:pPr>
        <w:jc w:val="both"/>
        <w:rPr>
          <w:rFonts w:cstheme="minorHAnsi"/>
          <w:b/>
          <w:bCs/>
          <w:color w:val="4472C4" w:themeColor="accent1"/>
          <w:sz w:val="20"/>
          <w:szCs w:val="20"/>
        </w:rPr>
      </w:pPr>
      <w:r w:rsidRPr="00D15B1C">
        <w:rPr>
          <w:rFonts w:cstheme="minorHAnsi"/>
          <w:b/>
          <w:bCs/>
          <w:sz w:val="20"/>
          <w:szCs w:val="20"/>
        </w:rPr>
        <w:t xml:space="preserve">Part 2: </w:t>
      </w:r>
      <w:r w:rsidR="000A3F91" w:rsidRPr="00D15B1C">
        <w:rPr>
          <w:rFonts w:cstheme="minorHAnsi"/>
          <w:b/>
          <w:bCs/>
          <w:sz w:val="20"/>
          <w:szCs w:val="20"/>
        </w:rPr>
        <w:t>DFAT T</w:t>
      </w:r>
      <w:r w:rsidR="00154BE5" w:rsidRPr="00D15B1C">
        <w:rPr>
          <w:rFonts w:cstheme="minorHAnsi"/>
          <w:b/>
          <w:bCs/>
          <w:sz w:val="20"/>
          <w:szCs w:val="20"/>
        </w:rPr>
        <w:t xml:space="preserve">ier 2 </w:t>
      </w:r>
      <w:r w:rsidR="00792CAF" w:rsidRPr="00D15B1C">
        <w:rPr>
          <w:rFonts w:cstheme="minorHAnsi"/>
          <w:b/>
          <w:bCs/>
          <w:sz w:val="20"/>
          <w:szCs w:val="20"/>
        </w:rPr>
        <w:t>i</w:t>
      </w:r>
      <w:r w:rsidR="00154BE5" w:rsidRPr="00D15B1C">
        <w:rPr>
          <w:rFonts w:cstheme="minorHAnsi"/>
          <w:b/>
          <w:bCs/>
          <w:sz w:val="20"/>
          <w:szCs w:val="20"/>
        </w:rPr>
        <w:t>ndicators</w:t>
      </w:r>
    </w:p>
    <w:p w14:paraId="37EF6FFA" w14:textId="667AA620" w:rsidR="00861571" w:rsidRPr="00D37494" w:rsidRDefault="00861571" w:rsidP="00D37494">
      <w:pPr>
        <w:spacing w:after="120"/>
        <w:rPr>
          <w:rFonts w:cstheme="minorHAnsi"/>
          <w:sz w:val="20"/>
          <w:szCs w:val="20"/>
        </w:rPr>
      </w:pPr>
      <w:r w:rsidRPr="00D37494">
        <w:rPr>
          <w:rFonts w:cstheme="minorHAnsi"/>
          <w:sz w:val="20"/>
          <w:szCs w:val="20"/>
        </w:rPr>
        <w:t xml:space="preserve">This list includes the DFAT Tier 2 indicators that are not included in the PHR Framework above. Tier 2 indicators are from </w:t>
      </w:r>
      <w:hyperlink r:id="rId15" w:history="1">
        <w:r w:rsidRPr="00D37494">
          <w:rPr>
            <w:rStyle w:val="Hyperlink"/>
            <w:rFonts w:cstheme="minorHAnsi"/>
            <w:sz w:val="20"/>
            <w:szCs w:val="20"/>
          </w:rPr>
          <w:t>Australia’s Development-Policy Performance and Delivery Framework</w:t>
        </w:r>
      </w:hyperlink>
      <w:r w:rsidRPr="00D37494">
        <w:rPr>
          <w:rFonts w:cstheme="minorHAnsi"/>
          <w:sz w:val="20"/>
          <w:szCs w:val="20"/>
        </w:rPr>
        <w:t xml:space="preserve">. </w:t>
      </w:r>
      <w:r w:rsidR="000F30E6">
        <w:rPr>
          <w:rFonts w:cstheme="minorHAnsi"/>
          <w:sz w:val="20"/>
          <w:szCs w:val="20"/>
        </w:rPr>
        <w:t xml:space="preserve">Guidance notes for all Tier 2 indicators can be found here: </w:t>
      </w:r>
      <w:hyperlink r:id="rId16" w:history="1">
        <w:r w:rsidR="000F30E6" w:rsidRPr="000F30E6">
          <w:rPr>
            <w:rStyle w:val="Hyperlink"/>
            <w:rFonts w:cstheme="minorHAnsi"/>
            <w:sz w:val="20"/>
            <w:szCs w:val="20"/>
          </w:rPr>
          <w:t>Australia’s Development Program - Tier 2 Results</w:t>
        </w:r>
      </w:hyperlink>
      <w:r w:rsidR="00676F95" w:rsidRPr="00D15B1C">
        <w:rPr>
          <w:rFonts w:cstheme="minorHAnsi"/>
          <w:sz w:val="20"/>
          <w:szCs w:val="20"/>
        </w:rPr>
        <w:t>.</w:t>
      </w:r>
    </w:p>
    <w:tbl>
      <w:tblPr>
        <w:tblW w:w="9072"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8"/>
        <w:gridCol w:w="6804"/>
      </w:tblGrid>
      <w:tr w:rsidR="00822534" w:rsidRPr="00861571" w14:paraId="1653F320" w14:textId="77777777" w:rsidTr="005B64A8">
        <w:trPr>
          <w:trHeight w:val="300"/>
        </w:trPr>
        <w:tc>
          <w:tcPr>
            <w:tcW w:w="2268" w:type="dxa"/>
            <w:tcBorders>
              <w:top w:val="single" w:sz="6" w:space="0" w:color="auto"/>
              <w:left w:val="single" w:sz="6" w:space="0" w:color="auto"/>
              <w:bottom w:val="single" w:sz="4" w:space="0" w:color="auto"/>
              <w:right w:val="single" w:sz="6" w:space="0" w:color="auto"/>
            </w:tcBorders>
            <w:shd w:val="clear" w:color="auto" w:fill="00837C"/>
          </w:tcPr>
          <w:p w14:paraId="3E6D5931" w14:textId="77777777" w:rsidR="00861571" w:rsidRPr="005B64A8" w:rsidRDefault="00861571" w:rsidP="005B64A8">
            <w:pPr>
              <w:suppressAutoHyphens/>
              <w:spacing w:after="120" w:line="240" w:lineRule="auto"/>
              <w:rPr>
                <w:rFonts w:ascii="Calibri" w:hAnsi="Calibri" w:cs="Calibri"/>
                <w:b/>
                <w:color w:val="FFFFFF" w:themeColor="background1"/>
                <w:sz w:val="20"/>
                <w:szCs w:val="20"/>
              </w:rPr>
            </w:pPr>
            <w:r w:rsidRPr="005B64A8">
              <w:rPr>
                <w:rFonts w:ascii="Calibri" w:hAnsi="Calibri" w:cs="Calibri"/>
                <w:b/>
                <w:color w:val="FFFFFF" w:themeColor="background1"/>
                <w:sz w:val="20"/>
                <w:szCs w:val="20"/>
              </w:rPr>
              <w:t>DFAT strategy outcome area</w:t>
            </w:r>
          </w:p>
        </w:tc>
        <w:tc>
          <w:tcPr>
            <w:tcW w:w="6804" w:type="dxa"/>
            <w:tcBorders>
              <w:top w:val="single" w:sz="6" w:space="0" w:color="auto"/>
              <w:left w:val="single" w:sz="6" w:space="0" w:color="auto"/>
              <w:bottom w:val="single" w:sz="6" w:space="0" w:color="auto"/>
              <w:right w:val="single" w:sz="6" w:space="0" w:color="auto"/>
            </w:tcBorders>
            <w:shd w:val="clear" w:color="auto" w:fill="00837C"/>
          </w:tcPr>
          <w:p w14:paraId="040386B8" w14:textId="2D8B45CF" w:rsidR="00861571" w:rsidRPr="005B64A8" w:rsidRDefault="00861571" w:rsidP="005B64A8">
            <w:pPr>
              <w:suppressAutoHyphens/>
              <w:spacing w:after="120" w:line="240" w:lineRule="auto"/>
              <w:rPr>
                <w:rFonts w:ascii="Calibri" w:hAnsi="Calibri" w:cs="Calibri"/>
                <w:b/>
                <w:color w:val="FFFFFF" w:themeColor="background1"/>
                <w:sz w:val="20"/>
                <w:szCs w:val="20"/>
              </w:rPr>
            </w:pPr>
            <w:r w:rsidRPr="005B64A8">
              <w:rPr>
                <w:rFonts w:ascii="Calibri" w:hAnsi="Calibri" w:cs="Calibri"/>
                <w:b/>
                <w:color w:val="FFFFFF" w:themeColor="background1"/>
                <w:sz w:val="20"/>
                <w:szCs w:val="20"/>
              </w:rPr>
              <w:t xml:space="preserve">Tier 2 </w:t>
            </w:r>
            <w:r w:rsidR="00171060" w:rsidRPr="005B64A8">
              <w:rPr>
                <w:rFonts w:ascii="Calibri" w:hAnsi="Calibri" w:cs="Calibri"/>
                <w:b/>
                <w:bCs/>
                <w:color w:val="FFFFFF" w:themeColor="background1"/>
                <w:sz w:val="20"/>
                <w:szCs w:val="20"/>
              </w:rPr>
              <w:t>i</w:t>
            </w:r>
            <w:r w:rsidRPr="005B64A8">
              <w:rPr>
                <w:rFonts w:ascii="Calibri" w:hAnsi="Calibri" w:cs="Calibri"/>
                <w:b/>
                <w:bCs/>
                <w:color w:val="FFFFFF" w:themeColor="background1"/>
                <w:sz w:val="20"/>
                <w:szCs w:val="20"/>
              </w:rPr>
              <w:t>ndicator</w:t>
            </w:r>
            <w:r w:rsidR="005B64A8" w:rsidRPr="005B64A8">
              <w:rPr>
                <w:rFonts w:ascii="Calibri" w:hAnsi="Calibri" w:cs="Calibri"/>
                <w:b/>
                <w:bCs/>
                <w:color w:val="FFFFFF" w:themeColor="background1"/>
                <w:sz w:val="20"/>
                <w:szCs w:val="20"/>
              </w:rPr>
              <w:br/>
            </w:r>
            <w:r w:rsidRPr="005B64A8">
              <w:rPr>
                <w:rFonts w:ascii="Calibri" w:hAnsi="Calibri" w:cs="Calibri"/>
                <w:b/>
                <w:color w:val="FFFFFF" w:themeColor="background1"/>
                <w:sz w:val="20"/>
                <w:szCs w:val="20"/>
              </w:rPr>
              <w:t xml:space="preserve">(does not include Tier 2 indicators in the PHR </w:t>
            </w:r>
            <w:r w:rsidR="005B64A8" w:rsidRPr="005B64A8">
              <w:rPr>
                <w:rFonts w:ascii="Calibri" w:hAnsi="Calibri" w:cs="Calibri"/>
                <w:b/>
                <w:bCs/>
                <w:color w:val="FFFFFF" w:themeColor="background1"/>
                <w:sz w:val="20"/>
                <w:szCs w:val="20"/>
              </w:rPr>
              <w:t xml:space="preserve">common indicator </w:t>
            </w:r>
            <w:r w:rsidRPr="005B64A8">
              <w:rPr>
                <w:rFonts w:ascii="Calibri" w:hAnsi="Calibri" w:cs="Calibri"/>
                <w:b/>
                <w:color w:val="FFFFFF" w:themeColor="background1"/>
                <w:sz w:val="20"/>
                <w:szCs w:val="20"/>
              </w:rPr>
              <w:t xml:space="preserve">list </w:t>
            </w:r>
            <w:r w:rsidR="00D15B1C" w:rsidRPr="005B64A8">
              <w:rPr>
                <w:rFonts w:ascii="Calibri" w:hAnsi="Calibri" w:cs="Calibri"/>
                <w:b/>
                <w:color w:val="FFFFFF" w:themeColor="background1"/>
                <w:sz w:val="20"/>
                <w:szCs w:val="20"/>
              </w:rPr>
              <w:t>above</w:t>
            </w:r>
            <w:r w:rsidRPr="005B64A8">
              <w:rPr>
                <w:rFonts w:ascii="Calibri" w:hAnsi="Calibri" w:cs="Calibri"/>
                <w:b/>
                <w:color w:val="FFFFFF" w:themeColor="background1"/>
                <w:sz w:val="20"/>
                <w:szCs w:val="20"/>
              </w:rPr>
              <w:t>)</w:t>
            </w:r>
          </w:p>
        </w:tc>
      </w:tr>
      <w:tr w:rsidR="00822534" w:rsidRPr="00861571" w14:paraId="25D681C9" w14:textId="77777777" w:rsidTr="005B64A8">
        <w:trPr>
          <w:trHeight w:val="300"/>
        </w:trPr>
        <w:tc>
          <w:tcPr>
            <w:tcW w:w="2268" w:type="dxa"/>
            <w:tcBorders>
              <w:top w:val="single" w:sz="6" w:space="0" w:color="auto"/>
              <w:left w:val="single" w:sz="6" w:space="0" w:color="auto"/>
              <w:bottom w:val="single" w:sz="4" w:space="0" w:color="auto"/>
              <w:right w:val="single" w:sz="6" w:space="0" w:color="auto"/>
            </w:tcBorders>
            <w:shd w:val="clear" w:color="auto" w:fill="FFFFFF" w:themeFill="background1"/>
          </w:tcPr>
          <w:p w14:paraId="2DA2C188"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Improved Governance</w:t>
            </w:r>
          </w:p>
        </w:tc>
        <w:tc>
          <w:tcPr>
            <w:tcW w:w="6804" w:type="dxa"/>
            <w:tcBorders>
              <w:top w:val="single" w:sz="6" w:space="0" w:color="auto"/>
              <w:left w:val="single" w:sz="6" w:space="0" w:color="auto"/>
              <w:bottom w:val="single" w:sz="6" w:space="0" w:color="auto"/>
              <w:right w:val="single" w:sz="6" w:space="0" w:color="auto"/>
            </w:tcBorders>
          </w:tcPr>
          <w:p w14:paraId="57E74D01"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 xml:space="preserve">T1: Number of organisations Australia has supported in the reporting period to strengthen accountability and/or inclusion, including examples of assistance provided and significant policy change achieved, at the following levels: </w:t>
            </w:r>
          </w:p>
          <w:p w14:paraId="5F820DF5" w14:textId="77777777" w:rsidR="00861571" w:rsidRPr="005B64A8" w:rsidRDefault="00861571" w:rsidP="005B64A8">
            <w:pPr>
              <w:pStyle w:val="ListParagraph"/>
              <w:numPr>
                <w:ilvl w:val="1"/>
                <w:numId w:val="7"/>
              </w:numPr>
              <w:suppressAutoHyphens/>
              <w:spacing w:after="120" w:line="240" w:lineRule="auto"/>
              <w:rPr>
                <w:rFonts w:ascii="Calibri" w:hAnsi="Calibri" w:cs="Calibri"/>
                <w:sz w:val="20"/>
                <w:szCs w:val="20"/>
              </w:rPr>
            </w:pPr>
            <w:r w:rsidRPr="005B64A8">
              <w:rPr>
                <w:rFonts w:ascii="Calibri" w:hAnsi="Calibri" w:cs="Calibri"/>
                <w:sz w:val="20"/>
                <w:szCs w:val="20"/>
              </w:rPr>
              <w:t xml:space="preserve">Government institutions, </w:t>
            </w:r>
            <w:bookmarkStart w:id="0" w:name="_Int_GHhb89eA"/>
            <w:r w:rsidRPr="005B64A8">
              <w:rPr>
                <w:rFonts w:ascii="Calibri" w:hAnsi="Calibri" w:cs="Calibri"/>
                <w:sz w:val="20"/>
                <w:szCs w:val="20"/>
              </w:rPr>
              <w:t>organisations</w:t>
            </w:r>
            <w:bookmarkEnd w:id="0"/>
            <w:r w:rsidRPr="005B64A8">
              <w:rPr>
                <w:rFonts w:ascii="Calibri" w:hAnsi="Calibri" w:cs="Calibri"/>
                <w:sz w:val="20"/>
                <w:szCs w:val="20"/>
              </w:rPr>
              <w:t xml:space="preserve"> or systems (by type and level) </w:t>
            </w:r>
          </w:p>
          <w:p w14:paraId="1B5E4DBE" w14:textId="77777777" w:rsidR="00861571" w:rsidRPr="005B64A8" w:rsidRDefault="00861571" w:rsidP="005B64A8">
            <w:pPr>
              <w:pStyle w:val="ListParagraph"/>
              <w:numPr>
                <w:ilvl w:val="1"/>
                <w:numId w:val="7"/>
              </w:numPr>
              <w:suppressAutoHyphens/>
              <w:spacing w:after="120" w:line="240" w:lineRule="auto"/>
              <w:rPr>
                <w:rFonts w:ascii="Calibri" w:hAnsi="Calibri" w:cs="Calibri"/>
                <w:sz w:val="20"/>
                <w:szCs w:val="20"/>
              </w:rPr>
            </w:pPr>
            <w:r w:rsidRPr="005B64A8">
              <w:rPr>
                <w:rFonts w:ascii="Calibri" w:hAnsi="Calibri" w:cs="Calibri"/>
                <w:sz w:val="20"/>
                <w:szCs w:val="20"/>
              </w:rPr>
              <w:t xml:space="preserve">Civil society organisations or systems (by type and level) </w:t>
            </w:r>
          </w:p>
          <w:p w14:paraId="0BD92E6B" w14:textId="0F5E09B9" w:rsidR="00861571" w:rsidRPr="005B64A8" w:rsidRDefault="00861571" w:rsidP="005B64A8">
            <w:pPr>
              <w:pStyle w:val="ListParagraph"/>
              <w:numPr>
                <w:ilvl w:val="1"/>
                <w:numId w:val="7"/>
              </w:numPr>
              <w:suppressAutoHyphens/>
              <w:spacing w:after="120" w:line="240" w:lineRule="auto"/>
              <w:rPr>
                <w:rFonts w:ascii="Calibri" w:hAnsi="Calibri" w:cs="Calibri"/>
                <w:sz w:val="20"/>
                <w:szCs w:val="20"/>
              </w:rPr>
            </w:pPr>
            <w:r w:rsidRPr="005B64A8">
              <w:rPr>
                <w:rFonts w:ascii="Calibri" w:hAnsi="Calibri" w:cs="Calibri"/>
                <w:sz w:val="20"/>
                <w:szCs w:val="20"/>
              </w:rPr>
              <w:t>Private sector organisations (by type and level).</w:t>
            </w:r>
          </w:p>
        </w:tc>
      </w:tr>
      <w:tr w:rsidR="00822534" w:rsidRPr="00861571" w14:paraId="2F76891C" w14:textId="77777777" w:rsidTr="005B64A8">
        <w:trPr>
          <w:trHeight w:val="300"/>
        </w:trPr>
        <w:tc>
          <w:tcPr>
            <w:tcW w:w="2268" w:type="dxa"/>
            <w:vMerge w:val="restart"/>
            <w:tcBorders>
              <w:top w:val="single" w:sz="6" w:space="0" w:color="auto"/>
              <w:left w:val="single" w:sz="6" w:space="0" w:color="auto"/>
              <w:right w:val="single" w:sz="6" w:space="0" w:color="auto"/>
            </w:tcBorders>
            <w:shd w:val="clear" w:color="auto" w:fill="FFFFFF" w:themeFill="background1"/>
          </w:tcPr>
          <w:p w14:paraId="313DB75D"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Gender Equality</w:t>
            </w:r>
          </w:p>
        </w:tc>
        <w:tc>
          <w:tcPr>
            <w:tcW w:w="6804" w:type="dxa"/>
            <w:tcBorders>
              <w:top w:val="single" w:sz="6" w:space="0" w:color="auto"/>
              <w:left w:val="single" w:sz="6" w:space="0" w:color="auto"/>
              <w:bottom w:val="single" w:sz="6" w:space="0" w:color="auto"/>
              <w:right w:val="single" w:sz="6" w:space="0" w:color="auto"/>
            </w:tcBorders>
          </w:tcPr>
          <w:p w14:paraId="27B03F3B"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 xml:space="preserve">T2: ODA funding channelled to Women’s Equality Organisations and Institutions. </w:t>
            </w:r>
          </w:p>
        </w:tc>
      </w:tr>
      <w:tr w:rsidR="00861571" w:rsidRPr="00861571" w14:paraId="799C22C0" w14:textId="77777777" w:rsidTr="005B64A8">
        <w:trPr>
          <w:trHeight w:val="300"/>
        </w:trPr>
        <w:tc>
          <w:tcPr>
            <w:tcW w:w="2268" w:type="dxa"/>
            <w:vMerge/>
          </w:tcPr>
          <w:p w14:paraId="7176C65E" w14:textId="77777777" w:rsidR="00861571" w:rsidRPr="005B64A8" w:rsidRDefault="00861571" w:rsidP="005B64A8">
            <w:pPr>
              <w:suppressAutoHyphens/>
              <w:spacing w:after="120" w:line="240" w:lineRule="auto"/>
              <w:rPr>
                <w:rFonts w:ascii="Calibri" w:hAnsi="Calibri" w:cs="Calibri"/>
                <w:sz w:val="20"/>
                <w:szCs w:val="20"/>
              </w:rPr>
            </w:pPr>
          </w:p>
        </w:tc>
        <w:tc>
          <w:tcPr>
            <w:tcW w:w="6804" w:type="dxa"/>
            <w:tcBorders>
              <w:top w:val="single" w:sz="6" w:space="0" w:color="auto"/>
              <w:left w:val="single" w:sz="6" w:space="0" w:color="auto"/>
              <w:bottom w:val="single" w:sz="6" w:space="0" w:color="auto"/>
              <w:right w:val="single" w:sz="6" w:space="0" w:color="auto"/>
            </w:tcBorders>
          </w:tcPr>
          <w:p w14:paraId="74A50420"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T3: Number of services provided to victim/survivors of sexual and gender-based violence.</w:t>
            </w:r>
          </w:p>
        </w:tc>
      </w:tr>
      <w:tr w:rsidR="00822534" w:rsidRPr="00861571" w14:paraId="4273D5E7" w14:textId="77777777" w:rsidTr="005B64A8">
        <w:trPr>
          <w:trHeight w:val="300"/>
        </w:trPr>
        <w:tc>
          <w:tcPr>
            <w:tcW w:w="2268" w:type="dxa"/>
            <w:tcBorders>
              <w:top w:val="single" w:sz="6" w:space="0" w:color="auto"/>
              <w:left w:val="single" w:sz="6" w:space="0" w:color="auto"/>
              <w:bottom w:val="single" w:sz="4" w:space="0" w:color="auto"/>
              <w:right w:val="single" w:sz="6" w:space="0" w:color="auto"/>
            </w:tcBorders>
            <w:shd w:val="clear" w:color="auto" w:fill="FFFFFF" w:themeFill="background1"/>
          </w:tcPr>
          <w:p w14:paraId="75EE2BF0"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Disability Equity</w:t>
            </w:r>
          </w:p>
        </w:tc>
        <w:tc>
          <w:tcPr>
            <w:tcW w:w="6804" w:type="dxa"/>
            <w:tcBorders>
              <w:top w:val="single" w:sz="6" w:space="0" w:color="auto"/>
              <w:left w:val="single" w:sz="6" w:space="0" w:color="auto"/>
              <w:bottom w:val="single" w:sz="6" w:space="0" w:color="auto"/>
              <w:right w:val="single" w:sz="6" w:space="0" w:color="auto"/>
            </w:tcBorders>
          </w:tcPr>
          <w:p w14:paraId="4D1890B2"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T4: Number of organisations of persons with disabilities (regional/national/state/local) receiving capacity building support.</w:t>
            </w:r>
          </w:p>
        </w:tc>
      </w:tr>
      <w:tr w:rsidR="00822534" w:rsidRPr="00861571" w14:paraId="5FF5B292" w14:textId="77777777" w:rsidTr="005B64A8">
        <w:trPr>
          <w:trHeight w:val="300"/>
        </w:trPr>
        <w:tc>
          <w:tcPr>
            <w:tcW w:w="2268" w:type="dxa"/>
            <w:tcBorders>
              <w:top w:val="single" w:sz="6" w:space="0" w:color="auto"/>
              <w:left w:val="single" w:sz="6" w:space="0" w:color="auto"/>
              <w:bottom w:val="single" w:sz="4" w:space="0" w:color="auto"/>
              <w:right w:val="single" w:sz="6" w:space="0" w:color="auto"/>
            </w:tcBorders>
            <w:shd w:val="clear" w:color="auto" w:fill="FFFFFF" w:themeFill="background1"/>
          </w:tcPr>
          <w:p w14:paraId="70E1E591"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Strengthening Leadership</w:t>
            </w:r>
          </w:p>
        </w:tc>
        <w:tc>
          <w:tcPr>
            <w:tcW w:w="6804" w:type="dxa"/>
            <w:tcBorders>
              <w:top w:val="single" w:sz="6" w:space="0" w:color="auto"/>
              <w:left w:val="single" w:sz="6" w:space="0" w:color="auto"/>
              <w:bottom w:val="single" w:sz="6" w:space="0" w:color="auto"/>
              <w:right w:val="single" w:sz="6" w:space="0" w:color="auto"/>
            </w:tcBorders>
          </w:tcPr>
          <w:p w14:paraId="2530E609"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T5: Number of people who successfully complete a tertiary or technical/vocational course or work-related training.</w:t>
            </w:r>
          </w:p>
        </w:tc>
      </w:tr>
      <w:tr w:rsidR="00822534" w:rsidRPr="00861571" w14:paraId="2F1719E3" w14:textId="77777777" w:rsidTr="005B64A8">
        <w:trPr>
          <w:trHeight w:val="300"/>
        </w:trPr>
        <w:tc>
          <w:tcPr>
            <w:tcW w:w="2268" w:type="dxa"/>
            <w:vMerge w:val="restart"/>
            <w:tcBorders>
              <w:top w:val="single" w:sz="4" w:space="0" w:color="auto"/>
              <w:left w:val="single" w:sz="4" w:space="0" w:color="auto"/>
              <w:right w:val="single" w:sz="4" w:space="0" w:color="auto"/>
            </w:tcBorders>
          </w:tcPr>
          <w:p w14:paraId="6FD079EE"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Strengthening regional architecture</w:t>
            </w:r>
          </w:p>
        </w:tc>
        <w:tc>
          <w:tcPr>
            <w:tcW w:w="6804" w:type="dxa"/>
            <w:tcBorders>
              <w:top w:val="single" w:sz="6" w:space="0" w:color="auto"/>
              <w:left w:val="single" w:sz="4" w:space="0" w:color="auto"/>
              <w:bottom w:val="single" w:sz="6" w:space="0" w:color="auto"/>
              <w:right w:val="single" w:sz="6" w:space="0" w:color="auto"/>
            </w:tcBorders>
            <w:shd w:val="clear" w:color="auto" w:fill="FFFFFF" w:themeFill="background1"/>
          </w:tcPr>
          <w:p w14:paraId="2BE29912"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 xml:space="preserve">T6: Examples of support to ASEAN. </w:t>
            </w:r>
          </w:p>
        </w:tc>
      </w:tr>
      <w:tr w:rsidR="00822534" w:rsidRPr="00861571" w14:paraId="18D85639" w14:textId="77777777" w:rsidTr="005B64A8">
        <w:trPr>
          <w:trHeight w:val="300"/>
        </w:trPr>
        <w:tc>
          <w:tcPr>
            <w:tcW w:w="2268" w:type="dxa"/>
            <w:vMerge/>
          </w:tcPr>
          <w:p w14:paraId="2448E4D8" w14:textId="77777777" w:rsidR="00861571" w:rsidRPr="005B64A8" w:rsidRDefault="00861571" w:rsidP="005B64A8">
            <w:pPr>
              <w:suppressAutoHyphens/>
              <w:spacing w:after="120" w:line="240" w:lineRule="auto"/>
              <w:rPr>
                <w:rFonts w:ascii="Calibri" w:hAnsi="Calibri" w:cs="Calibri"/>
                <w:sz w:val="20"/>
                <w:szCs w:val="20"/>
              </w:rPr>
            </w:pPr>
          </w:p>
        </w:tc>
        <w:tc>
          <w:tcPr>
            <w:tcW w:w="6804" w:type="dxa"/>
            <w:tcBorders>
              <w:top w:val="single" w:sz="6" w:space="0" w:color="auto"/>
              <w:left w:val="single" w:sz="4" w:space="0" w:color="auto"/>
              <w:bottom w:val="single" w:sz="6" w:space="0" w:color="auto"/>
              <w:right w:val="single" w:sz="6" w:space="0" w:color="auto"/>
            </w:tcBorders>
            <w:shd w:val="clear" w:color="auto" w:fill="FFFFFF" w:themeFill="background1"/>
          </w:tcPr>
          <w:p w14:paraId="1B8001F8"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T7: Examples of support to Pacific regional organisations such as the Pacific Islands Forum, the Pacific Community (SPC), Forum Fisheries Agency (FFA), and the Secretariat of the Pacific Regional Environment Programme (SPREP).</w:t>
            </w:r>
          </w:p>
        </w:tc>
      </w:tr>
      <w:tr w:rsidR="00822534" w:rsidRPr="00861571" w14:paraId="1F7E0B46" w14:textId="77777777" w:rsidTr="005B64A8">
        <w:trPr>
          <w:trHeight w:val="300"/>
        </w:trPr>
        <w:tc>
          <w:tcPr>
            <w:tcW w:w="2268" w:type="dxa"/>
            <w:vMerge w:val="restart"/>
            <w:tcBorders>
              <w:top w:val="single" w:sz="4" w:space="0" w:color="auto"/>
              <w:left w:val="single" w:sz="4" w:space="0" w:color="auto"/>
              <w:right w:val="single" w:sz="4" w:space="0" w:color="auto"/>
            </w:tcBorders>
          </w:tcPr>
          <w:p w14:paraId="3E7074FD"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Environment and Biodiversity</w:t>
            </w:r>
            <w:r w:rsidRPr="005B64A8" w:rsidDel="005077E6">
              <w:rPr>
                <w:rFonts w:ascii="Calibri" w:hAnsi="Calibri" w:cs="Calibri"/>
                <w:sz w:val="20"/>
                <w:szCs w:val="20"/>
              </w:rPr>
              <w:t xml:space="preserve"> </w:t>
            </w:r>
          </w:p>
        </w:tc>
        <w:tc>
          <w:tcPr>
            <w:tcW w:w="6804" w:type="dxa"/>
            <w:tcBorders>
              <w:top w:val="single" w:sz="6" w:space="0" w:color="auto"/>
              <w:left w:val="single" w:sz="4" w:space="0" w:color="auto"/>
              <w:bottom w:val="single" w:sz="6" w:space="0" w:color="auto"/>
              <w:right w:val="single" w:sz="6" w:space="0" w:color="auto"/>
            </w:tcBorders>
            <w:shd w:val="clear" w:color="auto" w:fill="FFFFFF" w:themeFill="background1"/>
          </w:tcPr>
          <w:p w14:paraId="7B44F528"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T8: Number of people using basic or safely managed drinking water services.</w:t>
            </w:r>
          </w:p>
        </w:tc>
      </w:tr>
      <w:tr w:rsidR="00822534" w:rsidRPr="00861571" w14:paraId="6590C363" w14:textId="77777777" w:rsidTr="005B64A8">
        <w:trPr>
          <w:trHeight w:val="300"/>
        </w:trPr>
        <w:tc>
          <w:tcPr>
            <w:tcW w:w="2268" w:type="dxa"/>
            <w:vMerge/>
          </w:tcPr>
          <w:p w14:paraId="41834D21" w14:textId="77777777" w:rsidR="00861571" w:rsidRPr="005B64A8" w:rsidRDefault="00861571" w:rsidP="005B64A8">
            <w:pPr>
              <w:suppressAutoHyphens/>
              <w:spacing w:after="120" w:line="240" w:lineRule="auto"/>
              <w:rPr>
                <w:rFonts w:ascii="Calibri" w:hAnsi="Calibri" w:cs="Calibri"/>
                <w:sz w:val="20"/>
                <w:szCs w:val="20"/>
              </w:rPr>
            </w:pPr>
          </w:p>
        </w:tc>
        <w:tc>
          <w:tcPr>
            <w:tcW w:w="6804" w:type="dxa"/>
            <w:tcBorders>
              <w:top w:val="single" w:sz="6" w:space="0" w:color="auto"/>
              <w:left w:val="single" w:sz="4" w:space="0" w:color="auto"/>
              <w:bottom w:val="single" w:sz="6" w:space="0" w:color="auto"/>
              <w:right w:val="single" w:sz="6" w:space="0" w:color="auto"/>
            </w:tcBorders>
            <w:shd w:val="clear" w:color="auto" w:fill="FFFFFF" w:themeFill="background1"/>
          </w:tcPr>
          <w:p w14:paraId="6532B684"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T9: Number of people using basic or safely managed sanitation services and/or a handwashing facility with soap and water.</w:t>
            </w:r>
          </w:p>
        </w:tc>
      </w:tr>
      <w:tr w:rsidR="00822534" w:rsidRPr="00861571" w14:paraId="1E779C60" w14:textId="77777777" w:rsidTr="005B64A8">
        <w:trPr>
          <w:trHeight w:val="226"/>
        </w:trPr>
        <w:tc>
          <w:tcPr>
            <w:tcW w:w="2268" w:type="dxa"/>
            <w:tcBorders>
              <w:left w:val="single" w:sz="4" w:space="0" w:color="auto"/>
              <w:bottom w:val="single" w:sz="4" w:space="0" w:color="auto"/>
              <w:right w:val="single" w:sz="4" w:space="0" w:color="auto"/>
            </w:tcBorders>
          </w:tcPr>
          <w:p w14:paraId="7DA49A35" w14:textId="77777777" w:rsidR="00861571" w:rsidRPr="005B64A8" w:rsidRDefault="00861571" w:rsidP="005B64A8">
            <w:pPr>
              <w:suppressAutoHyphens/>
              <w:spacing w:after="120" w:line="240" w:lineRule="auto"/>
              <w:rPr>
                <w:rFonts w:ascii="Calibri" w:hAnsi="Calibri" w:cs="Calibri"/>
                <w:sz w:val="20"/>
                <w:szCs w:val="20"/>
              </w:rPr>
            </w:pPr>
          </w:p>
        </w:tc>
        <w:tc>
          <w:tcPr>
            <w:tcW w:w="6804" w:type="dxa"/>
            <w:tcBorders>
              <w:top w:val="single" w:sz="6" w:space="0" w:color="auto"/>
              <w:left w:val="single" w:sz="4" w:space="0" w:color="auto"/>
              <w:bottom w:val="single" w:sz="6" w:space="0" w:color="auto"/>
              <w:right w:val="single" w:sz="6" w:space="0" w:color="auto"/>
            </w:tcBorders>
            <w:shd w:val="clear" w:color="auto" w:fill="FFFFFF" w:themeFill="background1"/>
          </w:tcPr>
          <w:p w14:paraId="2EBCDD04" w14:textId="77777777" w:rsidR="00861571" w:rsidRPr="005B64A8" w:rsidRDefault="00861571" w:rsidP="005B64A8">
            <w:pPr>
              <w:suppressAutoHyphens/>
              <w:spacing w:after="120" w:line="240" w:lineRule="auto"/>
              <w:rPr>
                <w:rFonts w:ascii="Calibri" w:hAnsi="Calibri" w:cs="Calibri"/>
                <w:sz w:val="20"/>
                <w:szCs w:val="20"/>
              </w:rPr>
            </w:pPr>
            <w:r w:rsidRPr="005B64A8">
              <w:rPr>
                <w:rFonts w:ascii="Calibri" w:hAnsi="Calibri" w:cs="Calibri"/>
                <w:sz w:val="20"/>
                <w:szCs w:val="20"/>
              </w:rPr>
              <w:t>T10: Number and value of investments which promote/ deliver nature-positive outcomes.</w:t>
            </w:r>
          </w:p>
        </w:tc>
      </w:tr>
    </w:tbl>
    <w:p w14:paraId="48BBF923" w14:textId="77777777" w:rsidR="00334FF6" w:rsidRPr="00861571" w:rsidRDefault="00334FF6">
      <w:pPr>
        <w:rPr>
          <w:rFonts w:cstheme="minorHAnsi"/>
          <w:sz w:val="20"/>
          <w:szCs w:val="20"/>
        </w:rPr>
      </w:pPr>
    </w:p>
    <w:sectPr w:rsidR="00334FF6" w:rsidRPr="00861571" w:rsidSect="002F1236">
      <w:footerReference w:type="default" r:id="rId17"/>
      <w:pgSz w:w="11906" w:h="16838"/>
      <w:pgMar w:top="1191" w:right="1247"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798F" w14:textId="77777777" w:rsidR="00CB46AC" w:rsidRDefault="00CB46AC" w:rsidP="00334FF6">
      <w:pPr>
        <w:spacing w:after="0" w:line="240" w:lineRule="auto"/>
      </w:pPr>
      <w:r>
        <w:separator/>
      </w:r>
    </w:p>
  </w:endnote>
  <w:endnote w:type="continuationSeparator" w:id="0">
    <w:p w14:paraId="309B0B68" w14:textId="77777777" w:rsidR="00CB46AC" w:rsidRDefault="00CB46AC" w:rsidP="00334FF6">
      <w:pPr>
        <w:spacing w:after="0" w:line="240" w:lineRule="auto"/>
      </w:pPr>
      <w:r>
        <w:continuationSeparator/>
      </w:r>
    </w:p>
  </w:endnote>
  <w:endnote w:type="continuationNotice" w:id="1">
    <w:p w14:paraId="7FF37C47" w14:textId="77777777" w:rsidR="00CB46AC" w:rsidRDefault="00CB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607083"/>
      <w:docPartObj>
        <w:docPartGallery w:val="Page Numbers (Bottom of Page)"/>
        <w:docPartUnique/>
      </w:docPartObj>
    </w:sdtPr>
    <w:sdtEndPr>
      <w:rPr>
        <w:noProof/>
      </w:rPr>
    </w:sdtEndPr>
    <w:sdtContent>
      <w:p w14:paraId="0297451E" w14:textId="43B90FBE" w:rsidR="00773C52" w:rsidRDefault="00773C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28C0C" w14:textId="77777777" w:rsidR="00773C52" w:rsidRDefault="0077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902F" w14:textId="77777777" w:rsidR="00CB46AC" w:rsidRDefault="00CB46AC" w:rsidP="00334FF6">
      <w:pPr>
        <w:spacing w:after="0" w:line="240" w:lineRule="auto"/>
      </w:pPr>
      <w:r>
        <w:separator/>
      </w:r>
    </w:p>
  </w:footnote>
  <w:footnote w:type="continuationSeparator" w:id="0">
    <w:p w14:paraId="2E0AF002" w14:textId="77777777" w:rsidR="00CB46AC" w:rsidRDefault="00CB46AC" w:rsidP="00334FF6">
      <w:pPr>
        <w:spacing w:after="0" w:line="240" w:lineRule="auto"/>
      </w:pPr>
      <w:r>
        <w:continuationSeparator/>
      </w:r>
    </w:p>
  </w:footnote>
  <w:footnote w:type="continuationNotice" w:id="1">
    <w:p w14:paraId="2BBB7134" w14:textId="77777777" w:rsidR="00CB46AC" w:rsidRDefault="00CB46AC">
      <w:pPr>
        <w:spacing w:after="0" w:line="240" w:lineRule="auto"/>
      </w:pPr>
    </w:p>
  </w:footnote>
  <w:footnote w:id="2">
    <w:p w14:paraId="29B8A0A0" w14:textId="77777777" w:rsidR="00A12586" w:rsidRPr="006C0C25" w:rsidRDefault="00A12586" w:rsidP="00A12586">
      <w:pPr>
        <w:pStyle w:val="FootnoteText"/>
        <w:rPr>
          <w:sz w:val="18"/>
          <w:szCs w:val="18"/>
        </w:rPr>
      </w:pPr>
      <w:r w:rsidRPr="006C0C25">
        <w:rPr>
          <w:rStyle w:val="FootnoteReference"/>
          <w:sz w:val="18"/>
          <w:szCs w:val="18"/>
        </w:rPr>
        <w:footnoteRef/>
      </w:r>
      <w:r w:rsidRPr="006C0C25">
        <w:rPr>
          <w:sz w:val="18"/>
          <w:szCs w:val="18"/>
        </w:rPr>
        <w:t xml:space="preserve"> </w:t>
      </w:r>
      <w:r>
        <w:rPr>
          <w:sz w:val="18"/>
          <w:szCs w:val="18"/>
        </w:rPr>
        <w:t>F</w:t>
      </w:r>
      <w:r w:rsidRPr="006C0C25">
        <w:rPr>
          <w:sz w:val="18"/>
          <w:szCs w:val="18"/>
        </w:rPr>
        <w:t xml:space="preserve">or example, </w:t>
      </w:r>
      <w:r>
        <w:rPr>
          <w:sz w:val="18"/>
          <w:szCs w:val="18"/>
        </w:rPr>
        <w:t xml:space="preserve">health </w:t>
      </w:r>
      <w:r w:rsidRPr="006C0C25">
        <w:rPr>
          <w:sz w:val="18"/>
          <w:szCs w:val="18"/>
        </w:rPr>
        <w:t xml:space="preserve">systems that are underpinned by health information strategies, consistent definitions, disaggregated information, policies, supporting legislation and civil registration system. </w:t>
      </w:r>
    </w:p>
  </w:footnote>
  <w:footnote w:id="3">
    <w:p w14:paraId="2AF6D672" w14:textId="77777777" w:rsidR="00A12586" w:rsidRDefault="00A12586" w:rsidP="00A12586">
      <w:pPr>
        <w:pStyle w:val="FootnoteText"/>
      </w:pPr>
      <w:r w:rsidRPr="006C0C25">
        <w:rPr>
          <w:rStyle w:val="FootnoteReference"/>
          <w:sz w:val="18"/>
          <w:szCs w:val="18"/>
        </w:rPr>
        <w:footnoteRef/>
      </w:r>
      <w:r w:rsidRPr="006C0C25">
        <w:rPr>
          <w:sz w:val="18"/>
          <w:szCs w:val="18"/>
        </w:rPr>
        <w:t xml:space="preserve"> Examples include training for the delivering health services such in non-communicable and communicable disease prevention, diagnosis and treatment and critical and emergency care</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BA4"/>
    <w:multiLevelType w:val="hybridMultilevel"/>
    <w:tmpl w:val="CF6CDA98"/>
    <w:lvl w:ilvl="0" w:tplc="0C09000F">
      <w:start w:val="1"/>
      <w:numFmt w:val="decimal"/>
      <w:lvlText w:val="%1."/>
      <w:lvlJc w:val="left"/>
      <w:pPr>
        <w:ind w:left="360" w:hanging="360"/>
      </w:pPr>
    </w:lvl>
    <w:lvl w:ilvl="1" w:tplc="8BC0B3C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04A0DE3"/>
    <w:multiLevelType w:val="hybridMultilevel"/>
    <w:tmpl w:val="9AC874B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F5533B8"/>
    <w:multiLevelType w:val="hybridMultilevel"/>
    <w:tmpl w:val="A87ADB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B13FD2"/>
    <w:multiLevelType w:val="hybridMultilevel"/>
    <w:tmpl w:val="48CE8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54F8B1"/>
    <w:multiLevelType w:val="hybridMultilevel"/>
    <w:tmpl w:val="4B683926"/>
    <w:lvl w:ilvl="0" w:tplc="4650B7F4">
      <w:start w:val="1"/>
      <w:numFmt w:val="decimal"/>
      <w:lvlText w:val="%1."/>
      <w:lvlJc w:val="left"/>
      <w:pPr>
        <w:ind w:left="360" w:hanging="360"/>
      </w:pPr>
    </w:lvl>
    <w:lvl w:ilvl="1" w:tplc="A168C432">
      <w:start w:val="1"/>
      <w:numFmt w:val="lowerLetter"/>
      <w:lvlText w:val="%2."/>
      <w:lvlJc w:val="left"/>
      <w:pPr>
        <w:ind w:left="1080" w:hanging="360"/>
      </w:pPr>
    </w:lvl>
    <w:lvl w:ilvl="2" w:tplc="36FEFFBC">
      <w:start w:val="1"/>
      <w:numFmt w:val="lowerRoman"/>
      <w:lvlText w:val="%3."/>
      <w:lvlJc w:val="right"/>
      <w:pPr>
        <w:ind w:left="1800" w:hanging="180"/>
      </w:pPr>
    </w:lvl>
    <w:lvl w:ilvl="3" w:tplc="9694448C">
      <w:start w:val="1"/>
      <w:numFmt w:val="decimal"/>
      <w:lvlText w:val="%4."/>
      <w:lvlJc w:val="left"/>
      <w:pPr>
        <w:ind w:left="2520" w:hanging="360"/>
      </w:pPr>
    </w:lvl>
    <w:lvl w:ilvl="4" w:tplc="1C60DD7A">
      <w:start w:val="1"/>
      <w:numFmt w:val="lowerLetter"/>
      <w:lvlText w:val="%5."/>
      <w:lvlJc w:val="left"/>
      <w:pPr>
        <w:ind w:left="3240" w:hanging="360"/>
      </w:pPr>
    </w:lvl>
    <w:lvl w:ilvl="5" w:tplc="23A012C0">
      <w:start w:val="1"/>
      <w:numFmt w:val="lowerRoman"/>
      <w:lvlText w:val="%6."/>
      <w:lvlJc w:val="right"/>
      <w:pPr>
        <w:ind w:left="3960" w:hanging="180"/>
      </w:pPr>
    </w:lvl>
    <w:lvl w:ilvl="6" w:tplc="C4242A9A">
      <w:start w:val="1"/>
      <w:numFmt w:val="decimal"/>
      <w:lvlText w:val="%7."/>
      <w:lvlJc w:val="left"/>
      <w:pPr>
        <w:ind w:left="4680" w:hanging="360"/>
      </w:pPr>
    </w:lvl>
    <w:lvl w:ilvl="7" w:tplc="A4A49454">
      <w:start w:val="1"/>
      <w:numFmt w:val="lowerLetter"/>
      <w:lvlText w:val="%8."/>
      <w:lvlJc w:val="left"/>
      <w:pPr>
        <w:ind w:left="5400" w:hanging="360"/>
      </w:pPr>
    </w:lvl>
    <w:lvl w:ilvl="8" w:tplc="CFEC0828">
      <w:start w:val="1"/>
      <w:numFmt w:val="lowerRoman"/>
      <w:lvlText w:val="%9."/>
      <w:lvlJc w:val="right"/>
      <w:pPr>
        <w:ind w:left="6120" w:hanging="180"/>
      </w:pPr>
    </w:lvl>
  </w:abstractNum>
  <w:abstractNum w:abstractNumId="5" w15:restartNumberingAfterBreak="0">
    <w:nsid w:val="5D3C1EA7"/>
    <w:multiLevelType w:val="multilevel"/>
    <w:tmpl w:val="43428892"/>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8E5625"/>
    <w:multiLevelType w:val="hybridMultilevel"/>
    <w:tmpl w:val="308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054AE3"/>
    <w:multiLevelType w:val="hybridMultilevel"/>
    <w:tmpl w:val="683E8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E83EDA"/>
    <w:multiLevelType w:val="hybridMultilevel"/>
    <w:tmpl w:val="35C2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866C70"/>
    <w:multiLevelType w:val="hybridMultilevel"/>
    <w:tmpl w:val="A7FC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0868290">
    <w:abstractNumId w:val="2"/>
  </w:num>
  <w:num w:numId="2" w16cid:durableId="738674445">
    <w:abstractNumId w:val="9"/>
  </w:num>
  <w:num w:numId="3" w16cid:durableId="228656674">
    <w:abstractNumId w:val="7"/>
  </w:num>
  <w:num w:numId="4" w16cid:durableId="412625658">
    <w:abstractNumId w:val="8"/>
  </w:num>
  <w:num w:numId="5" w16cid:durableId="2075008908">
    <w:abstractNumId w:val="6"/>
  </w:num>
  <w:num w:numId="6" w16cid:durableId="1010176870">
    <w:abstractNumId w:val="5"/>
  </w:num>
  <w:num w:numId="7" w16cid:durableId="2107773972">
    <w:abstractNumId w:val="0"/>
  </w:num>
  <w:num w:numId="8" w16cid:durableId="1144004828">
    <w:abstractNumId w:val="3"/>
  </w:num>
  <w:num w:numId="9" w16cid:durableId="2124839435">
    <w:abstractNumId w:val="1"/>
  </w:num>
  <w:num w:numId="10" w16cid:durableId="66239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F6"/>
    <w:rsid w:val="00000761"/>
    <w:rsid w:val="0000177A"/>
    <w:rsid w:val="00003517"/>
    <w:rsid w:val="00004BC5"/>
    <w:rsid w:val="000100DE"/>
    <w:rsid w:val="00011CA9"/>
    <w:rsid w:val="00016299"/>
    <w:rsid w:val="0002072C"/>
    <w:rsid w:val="00020FF1"/>
    <w:rsid w:val="00022CB4"/>
    <w:rsid w:val="0002536D"/>
    <w:rsid w:val="000308C9"/>
    <w:rsid w:val="000331A4"/>
    <w:rsid w:val="00037AE0"/>
    <w:rsid w:val="00042B47"/>
    <w:rsid w:val="000433C0"/>
    <w:rsid w:val="0004464B"/>
    <w:rsid w:val="0004526C"/>
    <w:rsid w:val="00047E81"/>
    <w:rsid w:val="00051288"/>
    <w:rsid w:val="000523D5"/>
    <w:rsid w:val="000546EE"/>
    <w:rsid w:val="00060BA4"/>
    <w:rsid w:val="00062182"/>
    <w:rsid w:val="000636C4"/>
    <w:rsid w:val="000651B1"/>
    <w:rsid w:val="00065BC2"/>
    <w:rsid w:val="0007009D"/>
    <w:rsid w:val="000731D1"/>
    <w:rsid w:val="000734E2"/>
    <w:rsid w:val="000768B0"/>
    <w:rsid w:val="000773C1"/>
    <w:rsid w:val="00080862"/>
    <w:rsid w:val="000812FB"/>
    <w:rsid w:val="00084619"/>
    <w:rsid w:val="00084A82"/>
    <w:rsid w:val="00085C31"/>
    <w:rsid w:val="00086A81"/>
    <w:rsid w:val="000A0683"/>
    <w:rsid w:val="000A0AF2"/>
    <w:rsid w:val="000A2579"/>
    <w:rsid w:val="000A3F91"/>
    <w:rsid w:val="000A6432"/>
    <w:rsid w:val="000A7A62"/>
    <w:rsid w:val="000B0617"/>
    <w:rsid w:val="000B1309"/>
    <w:rsid w:val="000B1DDB"/>
    <w:rsid w:val="000B54BE"/>
    <w:rsid w:val="000C1201"/>
    <w:rsid w:val="000C2598"/>
    <w:rsid w:val="000C33D7"/>
    <w:rsid w:val="000C663E"/>
    <w:rsid w:val="000D033A"/>
    <w:rsid w:val="000D13EE"/>
    <w:rsid w:val="000D23EF"/>
    <w:rsid w:val="000D2554"/>
    <w:rsid w:val="000D7A77"/>
    <w:rsid w:val="000E3CFD"/>
    <w:rsid w:val="000E3FD9"/>
    <w:rsid w:val="000F2A81"/>
    <w:rsid w:val="000F30E6"/>
    <w:rsid w:val="000F566E"/>
    <w:rsid w:val="000F57CF"/>
    <w:rsid w:val="000F7B59"/>
    <w:rsid w:val="001022F1"/>
    <w:rsid w:val="001035A8"/>
    <w:rsid w:val="00110FD3"/>
    <w:rsid w:val="001116EE"/>
    <w:rsid w:val="00113821"/>
    <w:rsid w:val="00115ECD"/>
    <w:rsid w:val="00116154"/>
    <w:rsid w:val="001167F0"/>
    <w:rsid w:val="001205E9"/>
    <w:rsid w:val="00122B7F"/>
    <w:rsid w:val="00123130"/>
    <w:rsid w:val="00125D17"/>
    <w:rsid w:val="00126E70"/>
    <w:rsid w:val="00127C32"/>
    <w:rsid w:val="001305DE"/>
    <w:rsid w:val="00131146"/>
    <w:rsid w:val="00132AE6"/>
    <w:rsid w:val="00135295"/>
    <w:rsid w:val="00135E61"/>
    <w:rsid w:val="001408F2"/>
    <w:rsid w:val="00143EA8"/>
    <w:rsid w:val="00144B4A"/>
    <w:rsid w:val="00151BED"/>
    <w:rsid w:val="00154BE5"/>
    <w:rsid w:val="00161FF8"/>
    <w:rsid w:val="001657BF"/>
    <w:rsid w:val="00166FF6"/>
    <w:rsid w:val="00170028"/>
    <w:rsid w:val="00171060"/>
    <w:rsid w:val="0017419C"/>
    <w:rsid w:val="00174611"/>
    <w:rsid w:val="001767E1"/>
    <w:rsid w:val="001802F2"/>
    <w:rsid w:val="00180D3E"/>
    <w:rsid w:val="00182FA9"/>
    <w:rsid w:val="00186C08"/>
    <w:rsid w:val="00186CEE"/>
    <w:rsid w:val="001878A2"/>
    <w:rsid w:val="001911E5"/>
    <w:rsid w:val="00192824"/>
    <w:rsid w:val="00192D67"/>
    <w:rsid w:val="001934CB"/>
    <w:rsid w:val="00197B25"/>
    <w:rsid w:val="001A24F2"/>
    <w:rsid w:val="001B1D6B"/>
    <w:rsid w:val="001B39A4"/>
    <w:rsid w:val="001B56DA"/>
    <w:rsid w:val="001B77C8"/>
    <w:rsid w:val="001C39A0"/>
    <w:rsid w:val="001C5F90"/>
    <w:rsid w:val="001C64FD"/>
    <w:rsid w:val="001C72C8"/>
    <w:rsid w:val="001D0939"/>
    <w:rsid w:val="001D1542"/>
    <w:rsid w:val="001D2377"/>
    <w:rsid w:val="001D503B"/>
    <w:rsid w:val="001D60F0"/>
    <w:rsid w:val="001E2E6B"/>
    <w:rsid w:val="001E479A"/>
    <w:rsid w:val="001E7581"/>
    <w:rsid w:val="001F0A96"/>
    <w:rsid w:val="001F2239"/>
    <w:rsid w:val="001F34BF"/>
    <w:rsid w:val="001F4800"/>
    <w:rsid w:val="001F6387"/>
    <w:rsid w:val="00201ED4"/>
    <w:rsid w:val="00201ED7"/>
    <w:rsid w:val="00202AA8"/>
    <w:rsid w:val="002032E3"/>
    <w:rsid w:val="00203F30"/>
    <w:rsid w:val="002070A5"/>
    <w:rsid w:val="00211C96"/>
    <w:rsid w:val="00212F87"/>
    <w:rsid w:val="0022053F"/>
    <w:rsid w:val="002307B7"/>
    <w:rsid w:val="00231707"/>
    <w:rsid w:val="0023469F"/>
    <w:rsid w:val="00236CFC"/>
    <w:rsid w:val="002406D8"/>
    <w:rsid w:val="00242604"/>
    <w:rsid w:val="002438D4"/>
    <w:rsid w:val="00244EE8"/>
    <w:rsid w:val="00245797"/>
    <w:rsid w:val="002477A0"/>
    <w:rsid w:val="00260AB5"/>
    <w:rsid w:val="0026287B"/>
    <w:rsid w:val="00263988"/>
    <w:rsid w:val="002662CC"/>
    <w:rsid w:val="00266B7F"/>
    <w:rsid w:val="00270AFF"/>
    <w:rsid w:val="0027291E"/>
    <w:rsid w:val="00273D45"/>
    <w:rsid w:val="00274A6E"/>
    <w:rsid w:val="002772D6"/>
    <w:rsid w:val="00277CD2"/>
    <w:rsid w:val="00280654"/>
    <w:rsid w:val="00281891"/>
    <w:rsid w:val="00281EAB"/>
    <w:rsid w:val="0028602D"/>
    <w:rsid w:val="00287A58"/>
    <w:rsid w:val="002903C9"/>
    <w:rsid w:val="00290DBB"/>
    <w:rsid w:val="00294C21"/>
    <w:rsid w:val="00297515"/>
    <w:rsid w:val="00297FCF"/>
    <w:rsid w:val="002A1EDF"/>
    <w:rsid w:val="002A7B99"/>
    <w:rsid w:val="002B00C8"/>
    <w:rsid w:val="002B419C"/>
    <w:rsid w:val="002B58BA"/>
    <w:rsid w:val="002B7948"/>
    <w:rsid w:val="002C1291"/>
    <w:rsid w:val="002C5AD3"/>
    <w:rsid w:val="002D2723"/>
    <w:rsid w:val="002D4DA2"/>
    <w:rsid w:val="002D5E0F"/>
    <w:rsid w:val="002E01B8"/>
    <w:rsid w:val="002E70B4"/>
    <w:rsid w:val="002E7984"/>
    <w:rsid w:val="002F1236"/>
    <w:rsid w:val="002F15F7"/>
    <w:rsid w:val="00302E49"/>
    <w:rsid w:val="00302FC9"/>
    <w:rsid w:val="00304B2E"/>
    <w:rsid w:val="00305FFD"/>
    <w:rsid w:val="003075AE"/>
    <w:rsid w:val="003129BB"/>
    <w:rsid w:val="00313947"/>
    <w:rsid w:val="003149E5"/>
    <w:rsid w:val="00316E15"/>
    <w:rsid w:val="00324B99"/>
    <w:rsid w:val="003253E2"/>
    <w:rsid w:val="0033070D"/>
    <w:rsid w:val="003325C6"/>
    <w:rsid w:val="00333A8A"/>
    <w:rsid w:val="00334FF6"/>
    <w:rsid w:val="003366F1"/>
    <w:rsid w:val="003369FD"/>
    <w:rsid w:val="003375F7"/>
    <w:rsid w:val="0034028A"/>
    <w:rsid w:val="0034641D"/>
    <w:rsid w:val="00346973"/>
    <w:rsid w:val="00352013"/>
    <w:rsid w:val="0035249A"/>
    <w:rsid w:val="003549F0"/>
    <w:rsid w:val="0035547D"/>
    <w:rsid w:val="00355F43"/>
    <w:rsid w:val="00356AA0"/>
    <w:rsid w:val="00356ABC"/>
    <w:rsid w:val="003612F8"/>
    <w:rsid w:val="00362896"/>
    <w:rsid w:val="003648EE"/>
    <w:rsid w:val="00365652"/>
    <w:rsid w:val="00365848"/>
    <w:rsid w:val="00367DFF"/>
    <w:rsid w:val="00372619"/>
    <w:rsid w:val="00382A20"/>
    <w:rsid w:val="00386050"/>
    <w:rsid w:val="00387200"/>
    <w:rsid w:val="00387838"/>
    <w:rsid w:val="0039018C"/>
    <w:rsid w:val="00390F02"/>
    <w:rsid w:val="00395BA7"/>
    <w:rsid w:val="003973DC"/>
    <w:rsid w:val="003A6738"/>
    <w:rsid w:val="003A6951"/>
    <w:rsid w:val="003A7151"/>
    <w:rsid w:val="003B2E24"/>
    <w:rsid w:val="003B4658"/>
    <w:rsid w:val="003B597C"/>
    <w:rsid w:val="003C0E4B"/>
    <w:rsid w:val="003D1157"/>
    <w:rsid w:val="003D7F4D"/>
    <w:rsid w:val="003E2FC3"/>
    <w:rsid w:val="003E4EFF"/>
    <w:rsid w:val="003E6EE7"/>
    <w:rsid w:val="003F0881"/>
    <w:rsid w:val="003F36FB"/>
    <w:rsid w:val="004104CE"/>
    <w:rsid w:val="00410BF5"/>
    <w:rsid w:val="00411107"/>
    <w:rsid w:val="00412CE2"/>
    <w:rsid w:val="00412E52"/>
    <w:rsid w:val="00417F93"/>
    <w:rsid w:val="00423886"/>
    <w:rsid w:val="004256F1"/>
    <w:rsid w:val="00425D9B"/>
    <w:rsid w:val="00430D3E"/>
    <w:rsid w:val="00431184"/>
    <w:rsid w:val="004311B8"/>
    <w:rsid w:val="004342D3"/>
    <w:rsid w:val="00434C80"/>
    <w:rsid w:val="00434FC2"/>
    <w:rsid w:val="00435574"/>
    <w:rsid w:val="004373E9"/>
    <w:rsid w:val="004406F2"/>
    <w:rsid w:val="004432B0"/>
    <w:rsid w:val="004445DA"/>
    <w:rsid w:val="0044506F"/>
    <w:rsid w:val="0045007F"/>
    <w:rsid w:val="00453840"/>
    <w:rsid w:val="0045557F"/>
    <w:rsid w:val="0045600D"/>
    <w:rsid w:val="00456DF0"/>
    <w:rsid w:val="00461866"/>
    <w:rsid w:val="0046457E"/>
    <w:rsid w:val="00466619"/>
    <w:rsid w:val="004667B4"/>
    <w:rsid w:val="00470AA7"/>
    <w:rsid w:val="00471A30"/>
    <w:rsid w:val="004732CE"/>
    <w:rsid w:val="0047593F"/>
    <w:rsid w:val="00480EA0"/>
    <w:rsid w:val="0048337F"/>
    <w:rsid w:val="00486688"/>
    <w:rsid w:val="00491282"/>
    <w:rsid w:val="0049146D"/>
    <w:rsid w:val="00492619"/>
    <w:rsid w:val="0049439D"/>
    <w:rsid w:val="00496E61"/>
    <w:rsid w:val="004A176B"/>
    <w:rsid w:val="004A30CC"/>
    <w:rsid w:val="004A4A85"/>
    <w:rsid w:val="004B1226"/>
    <w:rsid w:val="004B1C7F"/>
    <w:rsid w:val="004B30D3"/>
    <w:rsid w:val="004B7832"/>
    <w:rsid w:val="004C065F"/>
    <w:rsid w:val="004C4121"/>
    <w:rsid w:val="004C4A20"/>
    <w:rsid w:val="004C5BE6"/>
    <w:rsid w:val="004C6A1E"/>
    <w:rsid w:val="004D051C"/>
    <w:rsid w:val="004D2166"/>
    <w:rsid w:val="004D6A8E"/>
    <w:rsid w:val="004D78AD"/>
    <w:rsid w:val="004E0234"/>
    <w:rsid w:val="004E0D31"/>
    <w:rsid w:val="004E178C"/>
    <w:rsid w:val="004E2FB6"/>
    <w:rsid w:val="004E3750"/>
    <w:rsid w:val="004E45E4"/>
    <w:rsid w:val="004E68C3"/>
    <w:rsid w:val="004F2F00"/>
    <w:rsid w:val="004F4340"/>
    <w:rsid w:val="004F6507"/>
    <w:rsid w:val="004F736C"/>
    <w:rsid w:val="005004F5"/>
    <w:rsid w:val="00510850"/>
    <w:rsid w:val="00512461"/>
    <w:rsid w:val="00513320"/>
    <w:rsid w:val="0052600F"/>
    <w:rsid w:val="00526CE4"/>
    <w:rsid w:val="00527638"/>
    <w:rsid w:val="00530067"/>
    <w:rsid w:val="00533860"/>
    <w:rsid w:val="00533FB0"/>
    <w:rsid w:val="005366B8"/>
    <w:rsid w:val="005419F6"/>
    <w:rsid w:val="00544634"/>
    <w:rsid w:val="0055156F"/>
    <w:rsid w:val="00551E55"/>
    <w:rsid w:val="00552323"/>
    <w:rsid w:val="00555333"/>
    <w:rsid w:val="00561331"/>
    <w:rsid w:val="00563C40"/>
    <w:rsid w:val="00564E66"/>
    <w:rsid w:val="00566522"/>
    <w:rsid w:val="005668E8"/>
    <w:rsid w:val="005678AD"/>
    <w:rsid w:val="00570809"/>
    <w:rsid w:val="0057505E"/>
    <w:rsid w:val="005812CE"/>
    <w:rsid w:val="005838F8"/>
    <w:rsid w:val="005845EF"/>
    <w:rsid w:val="0059045A"/>
    <w:rsid w:val="00590967"/>
    <w:rsid w:val="00593063"/>
    <w:rsid w:val="005938B1"/>
    <w:rsid w:val="00593FF6"/>
    <w:rsid w:val="0059730C"/>
    <w:rsid w:val="00597CEC"/>
    <w:rsid w:val="005A0921"/>
    <w:rsid w:val="005A366E"/>
    <w:rsid w:val="005A4818"/>
    <w:rsid w:val="005B352F"/>
    <w:rsid w:val="005B5901"/>
    <w:rsid w:val="005B64A8"/>
    <w:rsid w:val="005B7287"/>
    <w:rsid w:val="005B7D67"/>
    <w:rsid w:val="005C138C"/>
    <w:rsid w:val="005C2823"/>
    <w:rsid w:val="005C651F"/>
    <w:rsid w:val="005C7454"/>
    <w:rsid w:val="005D2436"/>
    <w:rsid w:val="005D331F"/>
    <w:rsid w:val="005D42B8"/>
    <w:rsid w:val="005E1F82"/>
    <w:rsid w:val="005E28EC"/>
    <w:rsid w:val="005E2B59"/>
    <w:rsid w:val="005E3247"/>
    <w:rsid w:val="005E5414"/>
    <w:rsid w:val="005E6074"/>
    <w:rsid w:val="005E77CC"/>
    <w:rsid w:val="005F068E"/>
    <w:rsid w:val="005F50DB"/>
    <w:rsid w:val="005F5EFC"/>
    <w:rsid w:val="00600825"/>
    <w:rsid w:val="006053D3"/>
    <w:rsid w:val="00607078"/>
    <w:rsid w:val="00607D96"/>
    <w:rsid w:val="00610CA9"/>
    <w:rsid w:val="00611B47"/>
    <w:rsid w:val="00612CCE"/>
    <w:rsid w:val="00616E55"/>
    <w:rsid w:val="00625B0F"/>
    <w:rsid w:val="00627B19"/>
    <w:rsid w:val="00635770"/>
    <w:rsid w:val="006357FC"/>
    <w:rsid w:val="0063672D"/>
    <w:rsid w:val="00641047"/>
    <w:rsid w:val="0064179C"/>
    <w:rsid w:val="0064181B"/>
    <w:rsid w:val="00644C45"/>
    <w:rsid w:val="00645D24"/>
    <w:rsid w:val="00647C63"/>
    <w:rsid w:val="006526BB"/>
    <w:rsid w:val="00652FB0"/>
    <w:rsid w:val="00654AE0"/>
    <w:rsid w:val="006574A8"/>
    <w:rsid w:val="00662995"/>
    <w:rsid w:val="006632FF"/>
    <w:rsid w:val="00663A29"/>
    <w:rsid w:val="0066673D"/>
    <w:rsid w:val="00667B0D"/>
    <w:rsid w:val="00670965"/>
    <w:rsid w:val="0067166B"/>
    <w:rsid w:val="00672A6E"/>
    <w:rsid w:val="0067463F"/>
    <w:rsid w:val="00676F95"/>
    <w:rsid w:val="00681B4F"/>
    <w:rsid w:val="00685A41"/>
    <w:rsid w:val="00685DCE"/>
    <w:rsid w:val="00685FE2"/>
    <w:rsid w:val="00686F4B"/>
    <w:rsid w:val="00690C3F"/>
    <w:rsid w:val="00692061"/>
    <w:rsid w:val="00695CD1"/>
    <w:rsid w:val="006A10CB"/>
    <w:rsid w:val="006A4714"/>
    <w:rsid w:val="006A4B38"/>
    <w:rsid w:val="006A5B9B"/>
    <w:rsid w:val="006A7653"/>
    <w:rsid w:val="006B04C1"/>
    <w:rsid w:val="006B131F"/>
    <w:rsid w:val="006B2A45"/>
    <w:rsid w:val="006B419C"/>
    <w:rsid w:val="006B5BE0"/>
    <w:rsid w:val="006B7BF6"/>
    <w:rsid w:val="006C29D5"/>
    <w:rsid w:val="006C317F"/>
    <w:rsid w:val="006D2451"/>
    <w:rsid w:val="006D387D"/>
    <w:rsid w:val="006D3B27"/>
    <w:rsid w:val="006D3B33"/>
    <w:rsid w:val="006D463A"/>
    <w:rsid w:val="006D655D"/>
    <w:rsid w:val="006E2813"/>
    <w:rsid w:val="006E7C46"/>
    <w:rsid w:val="006F0289"/>
    <w:rsid w:val="006F2752"/>
    <w:rsid w:val="006F3E27"/>
    <w:rsid w:val="006F7E45"/>
    <w:rsid w:val="00701ABF"/>
    <w:rsid w:val="007027B2"/>
    <w:rsid w:val="007049A9"/>
    <w:rsid w:val="007061B9"/>
    <w:rsid w:val="00710AD4"/>
    <w:rsid w:val="00711A53"/>
    <w:rsid w:val="00711BF2"/>
    <w:rsid w:val="007123CA"/>
    <w:rsid w:val="00715A2C"/>
    <w:rsid w:val="00717EA5"/>
    <w:rsid w:val="007207A5"/>
    <w:rsid w:val="00723CA4"/>
    <w:rsid w:val="007269BC"/>
    <w:rsid w:val="007314B8"/>
    <w:rsid w:val="00732594"/>
    <w:rsid w:val="00733192"/>
    <w:rsid w:val="00733997"/>
    <w:rsid w:val="00736136"/>
    <w:rsid w:val="0073664C"/>
    <w:rsid w:val="00736892"/>
    <w:rsid w:val="0073703A"/>
    <w:rsid w:val="00741584"/>
    <w:rsid w:val="00742EA7"/>
    <w:rsid w:val="00743A2C"/>
    <w:rsid w:val="00745DA3"/>
    <w:rsid w:val="00753193"/>
    <w:rsid w:val="00757612"/>
    <w:rsid w:val="007609D1"/>
    <w:rsid w:val="0076364C"/>
    <w:rsid w:val="00763970"/>
    <w:rsid w:val="0076506C"/>
    <w:rsid w:val="00765353"/>
    <w:rsid w:val="00770FC1"/>
    <w:rsid w:val="00771042"/>
    <w:rsid w:val="007731AD"/>
    <w:rsid w:val="00773C52"/>
    <w:rsid w:val="00774396"/>
    <w:rsid w:val="007764A1"/>
    <w:rsid w:val="00780037"/>
    <w:rsid w:val="00787734"/>
    <w:rsid w:val="00787A48"/>
    <w:rsid w:val="00791355"/>
    <w:rsid w:val="00792CAF"/>
    <w:rsid w:val="007931A3"/>
    <w:rsid w:val="00793D6B"/>
    <w:rsid w:val="007963BD"/>
    <w:rsid w:val="007A0477"/>
    <w:rsid w:val="007A0CBF"/>
    <w:rsid w:val="007A3150"/>
    <w:rsid w:val="007A395C"/>
    <w:rsid w:val="007A514F"/>
    <w:rsid w:val="007A5866"/>
    <w:rsid w:val="007A631B"/>
    <w:rsid w:val="007B0541"/>
    <w:rsid w:val="007B0B2D"/>
    <w:rsid w:val="007B0CA3"/>
    <w:rsid w:val="007B0D59"/>
    <w:rsid w:val="007B18ED"/>
    <w:rsid w:val="007B3EFF"/>
    <w:rsid w:val="007B7F4D"/>
    <w:rsid w:val="007C122A"/>
    <w:rsid w:val="007C1F7A"/>
    <w:rsid w:val="007C2761"/>
    <w:rsid w:val="007C2DE5"/>
    <w:rsid w:val="007C2E10"/>
    <w:rsid w:val="007C45C9"/>
    <w:rsid w:val="007C500D"/>
    <w:rsid w:val="007C51D2"/>
    <w:rsid w:val="007C5C3E"/>
    <w:rsid w:val="007C64C7"/>
    <w:rsid w:val="007D084B"/>
    <w:rsid w:val="007D592D"/>
    <w:rsid w:val="007D5E59"/>
    <w:rsid w:val="007D623C"/>
    <w:rsid w:val="007D6A20"/>
    <w:rsid w:val="007D7F2E"/>
    <w:rsid w:val="007E0564"/>
    <w:rsid w:val="007E063C"/>
    <w:rsid w:val="007E693A"/>
    <w:rsid w:val="007E6AF8"/>
    <w:rsid w:val="007E778D"/>
    <w:rsid w:val="007F1310"/>
    <w:rsid w:val="007F1EFE"/>
    <w:rsid w:val="007F31F2"/>
    <w:rsid w:val="007F3BF1"/>
    <w:rsid w:val="007F5161"/>
    <w:rsid w:val="0080072D"/>
    <w:rsid w:val="00801938"/>
    <w:rsid w:val="00802901"/>
    <w:rsid w:val="00802B52"/>
    <w:rsid w:val="0080372F"/>
    <w:rsid w:val="008038A2"/>
    <w:rsid w:val="00805079"/>
    <w:rsid w:val="00810E1B"/>
    <w:rsid w:val="00822534"/>
    <w:rsid w:val="008251E4"/>
    <w:rsid w:val="0082663B"/>
    <w:rsid w:val="0083047F"/>
    <w:rsid w:val="00833F2E"/>
    <w:rsid w:val="00834AEA"/>
    <w:rsid w:val="00836029"/>
    <w:rsid w:val="008430DC"/>
    <w:rsid w:val="00844EA9"/>
    <w:rsid w:val="00847DC1"/>
    <w:rsid w:val="008503F6"/>
    <w:rsid w:val="00850604"/>
    <w:rsid w:val="00852419"/>
    <w:rsid w:val="0085378A"/>
    <w:rsid w:val="008544B2"/>
    <w:rsid w:val="00854950"/>
    <w:rsid w:val="00854DE0"/>
    <w:rsid w:val="00854EE9"/>
    <w:rsid w:val="0085647E"/>
    <w:rsid w:val="00860324"/>
    <w:rsid w:val="00861571"/>
    <w:rsid w:val="0086169B"/>
    <w:rsid w:val="00865836"/>
    <w:rsid w:val="00865DE7"/>
    <w:rsid w:val="00865F16"/>
    <w:rsid w:val="0086734B"/>
    <w:rsid w:val="00870988"/>
    <w:rsid w:val="00871AD1"/>
    <w:rsid w:val="008764CC"/>
    <w:rsid w:val="00877AB4"/>
    <w:rsid w:val="00880840"/>
    <w:rsid w:val="00880899"/>
    <w:rsid w:val="008808E4"/>
    <w:rsid w:val="008817A3"/>
    <w:rsid w:val="00882C1F"/>
    <w:rsid w:val="008843C7"/>
    <w:rsid w:val="00884CCE"/>
    <w:rsid w:val="00885FD1"/>
    <w:rsid w:val="00886B91"/>
    <w:rsid w:val="00891FFC"/>
    <w:rsid w:val="00892097"/>
    <w:rsid w:val="0089247E"/>
    <w:rsid w:val="008925B3"/>
    <w:rsid w:val="008974FF"/>
    <w:rsid w:val="008A0A82"/>
    <w:rsid w:val="008A120E"/>
    <w:rsid w:val="008A1444"/>
    <w:rsid w:val="008A4A10"/>
    <w:rsid w:val="008A5CF8"/>
    <w:rsid w:val="008A7294"/>
    <w:rsid w:val="008B2280"/>
    <w:rsid w:val="008B2857"/>
    <w:rsid w:val="008B2C25"/>
    <w:rsid w:val="008B464E"/>
    <w:rsid w:val="008B5448"/>
    <w:rsid w:val="008B7BEB"/>
    <w:rsid w:val="008B7C8F"/>
    <w:rsid w:val="008C4557"/>
    <w:rsid w:val="008C7889"/>
    <w:rsid w:val="008E201C"/>
    <w:rsid w:val="008E2B71"/>
    <w:rsid w:val="008E38AC"/>
    <w:rsid w:val="008E5311"/>
    <w:rsid w:val="008E5914"/>
    <w:rsid w:val="008E68C9"/>
    <w:rsid w:val="008F6B69"/>
    <w:rsid w:val="008F6CE2"/>
    <w:rsid w:val="0090234A"/>
    <w:rsid w:val="009046D0"/>
    <w:rsid w:val="009066EC"/>
    <w:rsid w:val="009068E7"/>
    <w:rsid w:val="00906C7A"/>
    <w:rsid w:val="00907950"/>
    <w:rsid w:val="00907BB7"/>
    <w:rsid w:val="0091111C"/>
    <w:rsid w:val="00911CE3"/>
    <w:rsid w:val="0091353F"/>
    <w:rsid w:val="0091680F"/>
    <w:rsid w:val="00917615"/>
    <w:rsid w:val="009266D8"/>
    <w:rsid w:val="00927018"/>
    <w:rsid w:val="00930302"/>
    <w:rsid w:val="00932798"/>
    <w:rsid w:val="00933B2F"/>
    <w:rsid w:val="00933CEF"/>
    <w:rsid w:val="0093520F"/>
    <w:rsid w:val="0093587C"/>
    <w:rsid w:val="00935EE7"/>
    <w:rsid w:val="00942E33"/>
    <w:rsid w:val="00943242"/>
    <w:rsid w:val="0094469C"/>
    <w:rsid w:val="0094525E"/>
    <w:rsid w:val="00946133"/>
    <w:rsid w:val="009462EB"/>
    <w:rsid w:val="00951AE9"/>
    <w:rsid w:val="00970C8B"/>
    <w:rsid w:val="00973DF5"/>
    <w:rsid w:val="009746D9"/>
    <w:rsid w:val="00977F6E"/>
    <w:rsid w:val="00982208"/>
    <w:rsid w:val="0098236A"/>
    <w:rsid w:val="00983AC0"/>
    <w:rsid w:val="0098489D"/>
    <w:rsid w:val="00984A2E"/>
    <w:rsid w:val="009918A3"/>
    <w:rsid w:val="00991BDC"/>
    <w:rsid w:val="00997317"/>
    <w:rsid w:val="0099731D"/>
    <w:rsid w:val="009A1E8D"/>
    <w:rsid w:val="009A39FC"/>
    <w:rsid w:val="009A4FAF"/>
    <w:rsid w:val="009B0D30"/>
    <w:rsid w:val="009B0F0D"/>
    <w:rsid w:val="009B200A"/>
    <w:rsid w:val="009B21DD"/>
    <w:rsid w:val="009B547E"/>
    <w:rsid w:val="009B55FA"/>
    <w:rsid w:val="009B5CA6"/>
    <w:rsid w:val="009C11B0"/>
    <w:rsid w:val="009C171D"/>
    <w:rsid w:val="009D0D8A"/>
    <w:rsid w:val="009D1138"/>
    <w:rsid w:val="009D3CAC"/>
    <w:rsid w:val="009D4473"/>
    <w:rsid w:val="009D624C"/>
    <w:rsid w:val="009E46A8"/>
    <w:rsid w:val="009E54E2"/>
    <w:rsid w:val="009E7346"/>
    <w:rsid w:val="009F132D"/>
    <w:rsid w:val="009F5F20"/>
    <w:rsid w:val="009F65BA"/>
    <w:rsid w:val="009F734E"/>
    <w:rsid w:val="00A04FDD"/>
    <w:rsid w:val="00A058DB"/>
    <w:rsid w:val="00A05944"/>
    <w:rsid w:val="00A100C5"/>
    <w:rsid w:val="00A12586"/>
    <w:rsid w:val="00A14697"/>
    <w:rsid w:val="00A14F11"/>
    <w:rsid w:val="00A22029"/>
    <w:rsid w:val="00A2236D"/>
    <w:rsid w:val="00A24668"/>
    <w:rsid w:val="00A24970"/>
    <w:rsid w:val="00A3116E"/>
    <w:rsid w:val="00A3653D"/>
    <w:rsid w:val="00A3781A"/>
    <w:rsid w:val="00A447DE"/>
    <w:rsid w:val="00A513B6"/>
    <w:rsid w:val="00A514E7"/>
    <w:rsid w:val="00A5296D"/>
    <w:rsid w:val="00A5415E"/>
    <w:rsid w:val="00A60D1D"/>
    <w:rsid w:val="00A61932"/>
    <w:rsid w:val="00A64EB9"/>
    <w:rsid w:val="00A668F1"/>
    <w:rsid w:val="00A66C63"/>
    <w:rsid w:val="00A67864"/>
    <w:rsid w:val="00A678CE"/>
    <w:rsid w:val="00A67F23"/>
    <w:rsid w:val="00A72D3F"/>
    <w:rsid w:val="00A7329F"/>
    <w:rsid w:val="00A746C8"/>
    <w:rsid w:val="00A75861"/>
    <w:rsid w:val="00A8520F"/>
    <w:rsid w:val="00A9143B"/>
    <w:rsid w:val="00A921E4"/>
    <w:rsid w:val="00A923FC"/>
    <w:rsid w:val="00A92494"/>
    <w:rsid w:val="00A94F72"/>
    <w:rsid w:val="00A95257"/>
    <w:rsid w:val="00A9645C"/>
    <w:rsid w:val="00A97C32"/>
    <w:rsid w:val="00AA036F"/>
    <w:rsid w:val="00AA1814"/>
    <w:rsid w:val="00AA4714"/>
    <w:rsid w:val="00AA4BB6"/>
    <w:rsid w:val="00AA6AB8"/>
    <w:rsid w:val="00AB04CC"/>
    <w:rsid w:val="00AB3293"/>
    <w:rsid w:val="00AB35E5"/>
    <w:rsid w:val="00AB3B26"/>
    <w:rsid w:val="00AB3DD1"/>
    <w:rsid w:val="00AB4835"/>
    <w:rsid w:val="00AB602E"/>
    <w:rsid w:val="00AC0127"/>
    <w:rsid w:val="00AC0457"/>
    <w:rsid w:val="00AC0CBE"/>
    <w:rsid w:val="00AC20D5"/>
    <w:rsid w:val="00AC5728"/>
    <w:rsid w:val="00AC584F"/>
    <w:rsid w:val="00AC58CE"/>
    <w:rsid w:val="00AC656D"/>
    <w:rsid w:val="00AD031F"/>
    <w:rsid w:val="00AD6A31"/>
    <w:rsid w:val="00AE0FE1"/>
    <w:rsid w:val="00AE3365"/>
    <w:rsid w:val="00AE4E44"/>
    <w:rsid w:val="00AE51A4"/>
    <w:rsid w:val="00AE63BA"/>
    <w:rsid w:val="00AE67B4"/>
    <w:rsid w:val="00AE6995"/>
    <w:rsid w:val="00AF04BD"/>
    <w:rsid w:val="00AF1315"/>
    <w:rsid w:val="00AF2CF2"/>
    <w:rsid w:val="00AF7448"/>
    <w:rsid w:val="00B0068F"/>
    <w:rsid w:val="00B019A4"/>
    <w:rsid w:val="00B03458"/>
    <w:rsid w:val="00B0454C"/>
    <w:rsid w:val="00B05DB2"/>
    <w:rsid w:val="00B07D44"/>
    <w:rsid w:val="00B203C9"/>
    <w:rsid w:val="00B22693"/>
    <w:rsid w:val="00B23909"/>
    <w:rsid w:val="00B24186"/>
    <w:rsid w:val="00B24A3C"/>
    <w:rsid w:val="00B26394"/>
    <w:rsid w:val="00B27082"/>
    <w:rsid w:val="00B318BF"/>
    <w:rsid w:val="00B3358B"/>
    <w:rsid w:val="00B344F4"/>
    <w:rsid w:val="00B3531F"/>
    <w:rsid w:val="00B406A3"/>
    <w:rsid w:val="00B45AEF"/>
    <w:rsid w:val="00B45DB3"/>
    <w:rsid w:val="00B46C15"/>
    <w:rsid w:val="00B46C8D"/>
    <w:rsid w:val="00B4749B"/>
    <w:rsid w:val="00B519C6"/>
    <w:rsid w:val="00B53094"/>
    <w:rsid w:val="00B535F5"/>
    <w:rsid w:val="00B54898"/>
    <w:rsid w:val="00B54D09"/>
    <w:rsid w:val="00B60DB3"/>
    <w:rsid w:val="00B6283A"/>
    <w:rsid w:val="00B631A4"/>
    <w:rsid w:val="00B64488"/>
    <w:rsid w:val="00B66EB2"/>
    <w:rsid w:val="00B73B92"/>
    <w:rsid w:val="00B74AE7"/>
    <w:rsid w:val="00B812DF"/>
    <w:rsid w:val="00B84B83"/>
    <w:rsid w:val="00B85BD3"/>
    <w:rsid w:val="00B920E4"/>
    <w:rsid w:val="00B92767"/>
    <w:rsid w:val="00B968C3"/>
    <w:rsid w:val="00B97EF0"/>
    <w:rsid w:val="00BA04C3"/>
    <w:rsid w:val="00BA04FB"/>
    <w:rsid w:val="00BA4E0E"/>
    <w:rsid w:val="00BA72C6"/>
    <w:rsid w:val="00BB084D"/>
    <w:rsid w:val="00BB190F"/>
    <w:rsid w:val="00BB4684"/>
    <w:rsid w:val="00BB5BF6"/>
    <w:rsid w:val="00BB5C97"/>
    <w:rsid w:val="00BB6959"/>
    <w:rsid w:val="00BC093F"/>
    <w:rsid w:val="00BC2426"/>
    <w:rsid w:val="00BC5D49"/>
    <w:rsid w:val="00BC66CC"/>
    <w:rsid w:val="00BC6FC1"/>
    <w:rsid w:val="00BC717B"/>
    <w:rsid w:val="00BC7FF1"/>
    <w:rsid w:val="00BD07F8"/>
    <w:rsid w:val="00BD171E"/>
    <w:rsid w:val="00BD38E3"/>
    <w:rsid w:val="00BD391F"/>
    <w:rsid w:val="00BD5BFC"/>
    <w:rsid w:val="00BD68BC"/>
    <w:rsid w:val="00BE2191"/>
    <w:rsid w:val="00BE4062"/>
    <w:rsid w:val="00BE5514"/>
    <w:rsid w:val="00BE64D8"/>
    <w:rsid w:val="00BE6A59"/>
    <w:rsid w:val="00BE6FD0"/>
    <w:rsid w:val="00BE6FDE"/>
    <w:rsid w:val="00BE740E"/>
    <w:rsid w:val="00BF49B3"/>
    <w:rsid w:val="00BF4FC9"/>
    <w:rsid w:val="00BF5291"/>
    <w:rsid w:val="00BF6390"/>
    <w:rsid w:val="00C00421"/>
    <w:rsid w:val="00C064DD"/>
    <w:rsid w:val="00C076BE"/>
    <w:rsid w:val="00C13AEA"/>
    <w:rsid w:val="00C16D3E"/>
    <w:rsid w:val="00C1723F"/>
    <w:rsid w:val="00C21C86"/>
    <w:rsid w:val="00C235BA"/>
    <w:rsid w:val="00C23D7F"/>
    <w:rsid w:val="00C267EE"/>
    <w:rsid w:val="00C27E88"/>
    <w:rsid w:val="00C30252"/>
    <w:rsid w:val="00C31117"/>
    <w:rsid w:val="00C32F4C"/>
    <w:rsid w:val="00C339D1"/>
    <w:rsid w:val="00C33C15"/>
    <w:rsid w:val="00C36933"/>
    <w:rsid w:val="00C47D45"/>
    <w:rsid w:val="00C527E7"/>
    <w:rsid w:val="00C5670A"/>
    <w:rsid w:val="00C57AA3"/>
    <w:rsid w:val="00C619F6"/>
    <w:rsid w:val="00C61A4E"/>
    <w:rsid w:val="00C62F76"/>
    <w:rsid w:val="00C65305"/>
    <w:rsid w:val="00C65A46"/>
    <w:rsid w:val="00C66AF6"/>
    <w:rsid w:val="00C675EB"/>
    <w:rsid w:val="00C705CD"/>
    <w:rsid w:val="00C7113D"/>
    <w:rsid w:val="00C71C9B"/>
    <w:rsid w:val="00C72119"/>
    <w:rsid w:val="00C73F86"/>
    <w:rsid w:val="00C76CF9"/>
    <w:rsid w:val="00C81D88"/>
    <w:rsid w:val="00C83A7C"/>
    <w:rsid w:val="00C84FEF"/>
    <w:rsid w:val="00C86C96"/>
    <w:rsid w:val="00C92A9F"/>
    <w:rsid w:val="00C93F22"/>
    <w:rsid w:val="00C93FEB"/>
    <w:rsid w:val="00C96A99"/>
    <w:rsid w:val="00C9798B"/>
    <w:rsid w:val="00CA15F9"/>
    <w:rsid w:val="00CA625C"/>
    <w:rsid w:val="00CA631F"/>
    <w:rsid w:val="00CA780B"/>
    <w:rsid w:val="00CB46AC"/>
    <w:rsid w:val="00CB7964"/>
    <w:rsid w:val="00CC032E"/>
    <w:rsid w:val="00CC0D80"/>
    <w:rsid w:val="00CC0E13"/>
    <w:rsid w:val="00CC3478"/>
    <w:rsid w:val="00CC377A"/>
    <w:rsid w:val="00CC49CD"/>
    <w:rsid w:val="00CD09F2"/>
    <w:rsid w:val="00CD0C37"/>
    <w:rsid w:val="00CD142A"/>
    <w:rsid w:val="00CD43FD"/>
    <w:rsid w:val="00CD5F42"/>
    <w:rsid w:val="00CE1208"/>
    <w:rsid w:val="00CE2D10"/>
    <w:rsid w:val="00CE339A"/>
    <w:rsid w:val="00CE5801"/>
    <w:rsid w:val="00CE5DF0"/>
    <w:rsid w:val="00CE7708"/>
    <w:rsid w:val="00CF5A43"/>
    <w:rsid w:val="00CF6980"/>
    <w:rsid w:val="00D026A0"/>
    <w:rsid w:val="00D04F88"/>
    <w:rsid w:val="00D05545"/>
    <w:rsid w:val="00D15B1C"/>
    <w:rsid w:val="00D20FDF"/>
    <w:rsid w:val="00D26475"/>
    <w:rsid w:val="00D26EE5"/>
    <w:rsid w:val="00D346D1"/>
    <w:rsid w:val="00D34888"/>
    <w:rsid w:val="00D37494"/>
    <w:rsid w:val="00D37E9B"/>
    <w:rsid w:val="00D444D5"/>
    <w:rsid w:val="00D4672E"/>
    <w:rsid w:val="00D47633"/>
    <w:rsid w:val="00D518B9"/>
    <w:rsid w:val="00D521ED"/>
    <w:rsid w:val="00D555E5"/>
    <w:rsid w:val="00D5565D"/>
    <w:rsid w:val="00D56294"/>
    <w:rsid w:val="00D621C1"/>
    <w:rsid w:val="00D6555D"/>
    <w:rsid w:val="00D65DE1"/>
    <w:rsid w:val="00D67763"/>
    <w:rsid w:val="00D750F0"/>
    <w:rsid w:val="00D75571"/>
    <w:rsid w:val="00D83057"/>
    <w:rsid w:val="00D83EC1"/>
    <w:rsid w:val="00D87EB7"/>
    <w:rsid w:val="00D959D7"/>
    <w:rsid w:val="00D978FF"/>
    <w:rsid w:val="00DA0782"/>
    <w:rsid w:val="00DA0F61"/>
    <w:rsid w:val="00DA53DD"/>
    <w:rsid w:val="00DA5B58"/>
    <w:rsid w:val="00DB008E"/>
    <w:rsid w:val="00DB0A45"/>
    <w:rsid w:val="00DB1130"/>
    <w:rsid w:val="00DB2104"/>
    <w:rsid w:val="00DC0A20"/>
    <w:rsid w:val="00DC7CDA"/>
    <w:rsid w:val="00DD3366"/>
    <w:rsid w:val="00DD7A4A"/>
    <w:rsid w:val="00DE02D8"/>
    <w:rsid w:val="00DE05D7"/>
    <w:rsid w:val="00DE334F"/>
    <w:rsid w:val="00DE5FE1"/>
    <w:rsid w:val="00DE7AD6"/>
    <w:rsid w:val="00DF07EA"/>
    <w:rsid w:val="00DF085F"/>
    <w:rsid w:val="00DF0E1A"/>
    <w:rsid w:val="00DF0E88"/>
    <w:rsid w:val="00DF20E9"/>
    <w:rsid w:val="00DF32A5"/>
    <w:rsid w:val="00E01C16"/>
    <w:rsid w:val="00E01DF1"/>
    <w:rsid w:val="00E03083"/>
    <w:rsid w:val="00E046BF"/>
    <w:rsid w:val="00E07AF7"/>
    <w:rsid w:val="00E10298"/>
    <w:rsid w:val="00E14431"/>
    <w:rsid w:val="00E1592B"/>
    <w:rsid w:val="00E1594F"/>
    <w:rsid w:val="00E15F4F"/>
    <w:rsid w:val="00E33759"/>
    <w:rsid w:val="00E34542"/>
    <w:rsid w:val="00E40B1F"/>
    <w:rsid w:val="00E41150"/>
    <w:rsid w:val="00E416F7"/>
    <w:rsid w:val="00E43C13"/>
    <w:rsid w:val="00E4466B"/>
    <w:rsid w:val="00E456C0"/>
    <w:rsid w:val="00E461DE"/>
    <w:rsid w:val="00E51A14"/>
    <w:rsid w:val="00E52B4F"/>
    <w:rsid w:val="00E551F7"/>
    <w:rsid w:val="00E56242"/>
    <w:rsid w:val="00E56CA1"/>
    <w:rsid w:val="00E605D4"/>
    <w:rsid w:val="00E63B16"/>
    <w:rsid w:val="00E67170"/>
    <w:rsid w:val="00E6771E"/>
    <w:rsid w:val="00E738B9"/>
    <w:rsid w:val="00E75BAA"/>
    <w:rsid w:val="00E76EA6"/>
    <w:rsid w:val="00E778EE"/>
    <w:rsid w:val="00E8269C"/>
    <w:rsid w:val="00E847CE"/>
    <w:rsid w:val="00E85286"/>
    <w:rsid w:val="00E91024"/>
    <w:rsid w:val="00E91E12"/>
    <w:rsid w:val="00E920C5"/>
    <w:rsid w:val="00E93517"/>
    <w:rsid w:val="00E93FAE"/>
    <w:rsid w:val="00E9487A"/>
    <w:rsid w:val="00E95033"/>
    <w:rsid w:val="00EA607C"/>
    <w:rsid w:val="00EA69B4"/>
    <w:rsid w:val="00EB06A9"/>
    <w:rsid w:val="00EB3458"/>
    <w:rsid w:val="00EB381A"/>
    <w:rsid w:val="00EB4921"/>
    <w:rsid w:val="00EB7CC4"/>
    <w:rsid w:val="00EC1FB2"/>
    <w:rsid w:val="00EC3846"/>
    <w:rsid w:val="00EC6561"/>
    <w:rsid w:val="00EC6B7B"/>
    <w:rsid w:val="00EC6E64"/>
    <w:rsid w:val="00EE3784"/>
    <w:rsid w:val="00EE5748"/>
    <w:rsid w:val="00EE6E05"/>
    <w:rsid w:val="00EE7FD2"/>
    <w:rsid w:val="00EF3DC5"/>
    <w:rsid w:val="00EF42DE"/>
    <w:rsid w:val="00EF5AD6"/>
    <w:rsid w:val="00EF6C01"/>
    <w:rsid w:val="00EF7454"/>
    <w:rsid w:val="00F01BCA"/>
    <w:rsid w:val="00F02D2B"/>
    <w:rsid w:val="00F05EC2"/>
    <w:rsid w:val="00F05F34"/>
    <w:rsid w:val="00F0687D"/>
    <w:rsid w:val="00F10804"/>
    <w:rsid w:val="00F1134E"/>
    <w:rsid w:val="00F11740"/>
    <w:rsid w:val="00F159D3"/>
    <w:rsid w:val="00F16B8F"/>
    <w:rsid w:val="00F21EA3"/>
    <w:rsid w:val="00F24065"/>
    <w:rsid w:val="00F26F5D"/>
    <w:rsid w:val="00F335A2"/>
    <w:rsid w:val="00F33778"/>
    <w:rsid w:val="00F33B88"/>
    <w:rsid w:val="00F34D10"/>
    <w:rsid w:val="00F3579D"/>
    <w:rsid w:val="00F369E6"/>
    <w:rsid w:val="00F36B5F"/>
    <w:rsid w:val="00F36FFC"/>
    <w:rsid w:val="00F372B4"/>
    <w:rsid w:val="00F37A16"/>
    <w:rsid w:val="00F45194"/>
    <w:rsid w:val="00F45AB3"/>
    <w:rsid w:val="00F46316"/>
    <w:rsid w:val="00F46A39"/>
    <w:rsid w:val="00F5021A"/>
    <w:rsid w:val="00F50242"/>
    <w:rsid w:val="00F50836"/>
    <w:rsid w:val="00F5189E"/>
    <w:rsid w:val="00F55D68"/>
    <w:rsid w:val="00F57862"/>
    <w:rsid w:val="00F57D93"/>
    <w:rsid w:val="00F6093D"/>
    <w:rsid w:val="00F6339C"/>
    <w:rsid w:val="00F63F75"/>
    <w:rsid w:val="00F6585C"/>
    <w:rsid w:val="00F75D1E"/>
    <w:rsid w:val="00F76E66"/>
    <w:rsid w:val="00F77E58"/>
    <w:rsid w:val="00F81357"/>
    <w:rsid w:val="00F822C5"/>
    <w:rsid w:val="00F84292"/>
    <w:rsid w:val="00F93B60"/>
    <w:rsid w:val="00F94E28"/>
    <w:rsid w:val="00FA1168"/>
    <w:rsid w:val="00FA59B4"/>
    <w:rsid w:val="00FA799F"/>
    <w:rsid w:val="00FB22B7"/>
    <w:rsid w:val="00FB63CA"/>
    <w:rsid w:val="00FB7978"/>
    <w:rsid w:val="00FC0817"/>
    <w:rsid w:val="00FC117A"/>
    <w:rsid w:val="00FC14DF"/>
    <w:rsid w:val="00FC1C14"/>
    <w:rsid w:val="00FC665B"/>
    <w:rsid w:val="00FD0515"/>
    <w:rsid w:val="00FD21F8"/>
    <w:rsid w:val="00FD5612"/>
    <w:rsid w:val="00FD63EE"/>
    <w:rsid w:val="00FE0FFF"/>
    <w:rsid w:val="00FE4D22"/>
    <w:rsid w:val="00FE55B2"/>
    <w:rsid w:val="00FE5B1D"/>
    <w:rsid w:val="00FF07DB"/>
    <w:rsid w:val="00FF16F8"/>
    <w:rsid w:val="00FF26CA"/>
    <w:rsid w:val="00FF3140"/>
    <w:rsid w:val="06EBE47D"/>
    <w:rsid w:val="07311DAE"/>
    <w:rsid w:val="08E434CB"/>
    <w:rsid w:val="09E53F83"/>
    <w:rsid w:val="0E2DE7DC"/>
    <w:rsid w:val="10CFACC4"/>
    <w:rsid w:val="13C1B77A"/>
    <w:rsid w:val="15195666"/>
    <w:rsid w:val="1747449F"/>
    <w:rsid w:val="19DA384C"/>
    <w:rsid w:val="1B8B4773"/>
    <w:rsid w:val="20A2EF2A"/>
    <w:rsid w:val="23AB2E8D"/>
    <w:rsid w:val="23B361C6"/>
    <w:rsid w:val="25291C74"/>
    <w:rsid w:val="256A18AD"/>
    <w:rsid w:val="275910C3"/>
    <w:rsid w:val="27BCD841"/>
    <w:rsid w:val="29419E67"/>
    <w:rsid w:val="2A4F31F8"/>
    <w:rsid w:val="2B9D7D31"/>
    <w:rsid w:val="2BABB719"/>
    <w:rsid w:val="329587EF"/>
    <w:rsid w:val="33197E66"/>
    <w:rsid w:val="36741051"/>
    <w:rsid w:val="36E0FAD9"/>
    <w:rsid w:val="3A2803CA"/>
    <w:rsid w:val="3A65E631"/>
    <w:rsid w:val="3C4951CF"/>
    <w:rsid w:val="3C72B679"/>
    <w:rsid w:val="4120D190"/>
    <w:rsid w:val="431E3243"/>
    <w:rsid w:val="48EBFC07"/>
    <w:rsid w:val="4985B0BB"/>
    <w:rsid w:val="4A634D4E"/>
    <w:rsid w:val="4C4A3F20"/>
    <w:rsid w:val="4CA1D4B5"/>
    <w:rsid w:val="4CF0C118"/>
    <w:rsid w:val="4D526FD7"/>
    <w:rsid w:val="4D7B0B12"/>
    <w:rsid w:val="4E39DA7A"/>
    <w:rsid w:val="505DBA93"/>
    <w:rsid w:val="53C4DB2F"/>
    <w:rsid w:val="5537DC86"/>
    <w:rsid w:val="55659CEB"/>
    <w:rsid w:val="55922827"/>
    <w:rsid w:val="56424D02"/>
    <w:rsid w:val="588D7EED"/>
    <w:rsid w:val="58C26AB0"/>
    <w:rsid w:val="5901873B"/>
    <w:rsid w:val="5AE8FC13"/>
    <w:rsid w:val="5B0BA708"/>
    <w:rsid w:val="5CECE0B4"/>
    <w:rsid w:val="5DBB0387"/>
    <w:rsid w:val="5F25FDB4"/>
    <w:rsid w:val="5F8D6476"/>
    <w:rsid w:val="60F83CA8"/>
    <w:rsid w:val="6368E71B"/>
    <w:rsid w:val="64FABC5E"/>
    <w:rsid w:val="64FBF630"/>
    <w:rsid w:val="66516CF1"/>
    <w:rsid w:val="66C46420"/>
    <w:rsid w:val="679962BA"/>
    <w:rsid w:val="6824CE82"/>
    <w:rsid w:val="6935DE60"/>
    <w:rsid w:val="696BE176"/>
    <w:rsid w:val="6DCD4596"/>
    <w:rsid w:val="6F7A3AA7"/>
    <w:rsid w:val="71AF0F17"/>
    <w:rsid w:val="72C4B3CE"/>
    <w:rsid w:val="732B7BBB"/>
    <w:rsid w:val="73D02733"/>
    <w:rsid w:val="741EE1B5"/>
    <w:rsid w:val="7843BBAB"/>
    <w:rsid w:val="789710CA"/>
    <w:rsid w:val="7B11F1BB"/>
    <w:rsid w:val="7B1C03E2"/>
    <w:rsid w:val="7D85BBF9"/>
    <w:rsid w:val="7FD02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F159"/>
  <w15:chartTrackingRefBased/>
  <w15:docId w15:val="{F1FBDF6C-B7BF-4206-9D2D-C7CF90E8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2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64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615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378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01629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75861"/>
    <w:pPr>
      <w:spacing w:after="0" w:line="240" w:lineRule="auto"/>
    </w:pPr>
  </w:style>
  <w:style w:type="character" w:styleId="CommentReference">
    <w:name w:val="annotation reference"/>
    <w:basedOn w:val="DefaultParagraphFont"/>
    <w:uiPriority w:val="99"/>
    <w:semiHidden/>
    <w:unhideWhenUsed/>
    <w:rsid w:val="000D23EF"/>
    <w:rPr>
      <w:sz w:val="16"/>
      <w:szCs w:val="16"/>
    </w:rPr>
  </w:style>
  <w:style w:type="paragraph" w:styleId="CommentText">
    <w:name w:val="annotation text"/>
    <w:basedOn w:val="Normal"/>
    <w:link w:val="CommentTextChar"/>
    <w:uiPriority w:val="99"/>
    <w:unhideWhenUsed/>
    <w:rsid w:val="000D23EF"/>
    <w:pPr>
      <w:spacing w:line="240" w:lineRule="auto"/>
    </w:pPr>
    <w:rPr>
      <w:sz w:val="20"/>
      <w:szCs w:val="20"/>
    </w:rPr>
  </w:style>
  <w:style w:type="character" w:customStyle="1" w:styleId="CommentTextChar">
    <w:name w:val="Comment Text Char"/>
    <w:basedOn w:val="DefaultParagraphFont"/>
    <w:link w:val="CommentText"/>
    <w:uiPriority w:val="99"/>
    <w:rsid w:val="000D23EF"/>
    <w:rPr>
      <w:sz w:val="20"/>
      <w:szCs w:val="20"/>
    </w:rPr>
  </w:style>
  <w:style w:type="paragraph" w:styleId="CommentSubject">
    <w:name w:val="annotation subject"/>
    <w:basedOn w:val="CommentText"/>
    <w:next w:val="CommentText"/>
    <w:link w:val="CommentSubjectChar"/>
    <w:uiPriority w:val="99"/>
    <w:semiHidden/>
    <w:unhideWhenUsed/>
    <w:rsid w:val="000D23EF"/>
    <w:rPr>
      <w:b/>
      <w:bCs/>
    </w:rPr>
  </w:style>
  <w:style w:type="character" w:customStyle="1" w:styleId="CommentSubjectChar">
    <w:name w:val="Comment Subject Char"/>
    <w:basedOn w:val="CommentTextChar"/>
    <w:link w:val="CommentSubject"/>
    <w:uiPriority w:val="99"/>
    <w:semiHidden/>
    <w:rsid w:val="000D23EF"/>
    <w:rPr>
      <w:b/>
      <w:bCs/>
      <w:sz w:val="20"/>
      <w:szCs w:val="20"/>
    </w:rPr>
  </w:style>
  <w:style w:type="paragraph" w:styleId="ListParagraph">
    <w:name w:val="List Paragraph"/>
    <w:aliases w:val="List Paragraph1,Recommendation,List Paragraph11,Bullets,L,CV text,Table text,F5 List Paragraph,Dot pt,Medium Grid 1 - Accent 21,Numbered Paragraph,List Paragraph111,List Paragraph2,Bulleted Para,NFP GP Bulleted List,FooterText,numbered,列出"/>
    <w:basedOn w:val="Normal"/>
    <w:link w:val="ListParagraphChar"/>
    <w:uiPriority w:val="34"/>
    <w:qFormat/>
    <w:rsid w:val="00410BF5"/>
    <w:pPr>
      <w:ind w:left="720"/>
      <w:contextualSpacing/>
    </w:pPr>
  </w:style>
  <w:style w:type="paragraph" w:styleId="FootnoteText">
    <w:name w:val="footnote text"/>
    <w:basedOn w:val="Normal"/>
    <w:link w:val="FootnoteTextChar"/>
    <w:uiPriority w:val="99"/>
    <w:unhideWhenUsed/>
    <w:rsid w:val="00FD5612"/>
    <w:pPr>
      <w:spacing w:after="0" w:line="240" w:lineRule="auto"/>
    </w:pPr>
    <w:rPr>
      <w:sz w:val="20"/>
      <w:szCs w:val="20"/>
    </w:rPr>
  </w:style>
  <w:style w:type="character" w:customStyle="1" w:styleId="FootnoteTextChar">
    <w:name w:val="Footnote Text Char"/>
    <w:basedOn w:val="DefaultParagraphFont"/>
    <w:link w:val="FootnoteText"/>
    <w:uiPriority w:val="99"/>
    <w:rsid w:val="00FD5612"/>
    <w:rPr>
      <w:sz w:val="20"/>
      <w:szCs w:val="20"/>
    </w:rPr>
  </w:style>
  <w:style w:type="character" w:styleId="FootnoteReference">
    <w:name w:val="footnote reference"/>
    <w:basedOn w:val="DefaultParagraphFont"/>
    <w:uiPriority w:val="99"/>
    <w:semiHidden/>
    <w:unhideWhenUsed/>
    <w:rsid w:val="00FD5612"/>
    <w:rPr>
      <w:vertAlign w:val="superscript"/>
    </w:rPr>
  </w:style>
  <w:style w:type="paragraph" w:styleId="Header">
    <w:name w:val="header"/>
    <w:basedOn w:val="Normal"/>
    <w:link w:val="HeaderChar"/>
    <w:uiPriority w:val="99"/>
    <w:unhideWhenUsed/>
    <w:rsid w:val="00280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654"/>
  </w:style>
  <w:style w:type="paragraph" w:styleId="Footer">
    <w:name w:val="footer"/>
    <w:basedOn w:val="Normal"/>
    <w:link w:val="FooterChar"/>
    <w:uiPriority w:val="99"/>
    <w:unhideWhenUsed/>
    <w:rsid w:val="00280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654"/>
  </w:style>
  <w:style w:type="character" w:customStyle="1" w:styleId="Heading2Char">
    <w:name w:val="Heading 2 Char"/>
    <w:basedOn w:val="DefaultParagraphFont"/>
    <w:link w:val="Heading2"/>
    <w:uiPriority w:val="9"/>
    <w:rsid w:val="00BE64D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57612"/>
    <w:rPr>
      <w:color w:val="0563C1" w:themeColor="hyperlink"/>
      <w:u w:val="single"/>
    </w:rPr>
  </w:style>
  <w:style w:type="character" w:customStyle="1" w:styleId="cf01">
    <w:name w:val="cf01"/>
    <w:basedOn w:val="DefaultParagraphFont"/>
    <w:rsid w:val="0080072D"/>
    <w:rPr>
      <w:rFonts w:ascii="Segoe UI" w:hAnsi="Segoe UI" w:cs="Segoe UI" w:hint="default"/>
      <w:sz w:val="18"/>
      <w:szCs w:val="18"/>
    </w:rPr>
  </w:style>
  <w:style w:type="character" w:styleId="UnresolvedMention">
    <w:name w:val="Unresolved Mention"/>
    <w:basedOn w:val="DefaultParagraphFont"/>
    <w:uiPriority w:val="99"/>
    <w:semiHidden/>
    <w:unhideWhenUsed/>
    <w:rsid w:val="00951AE9"/>
    <w:rPr>
      <w:color w:val="605E5C"/>
      <w:shd w:val="clear" w:color="auto" w:fill="E1DFDD"/>
    </w:rPr>
  </w:style>
  <w:style w:type="character" w:customStyle="1" w:styleId="ListParagraphChar">
    <w:name w:val="List Paragraph Char"/>
    <w:aliases w:val="List Paragraph1 Char,Recommendation Char,List Paragraph11 Char,Bullets Char,L Char,CV text Char,Table text Char,F5 List Paragraph Char,Dot pt Char,Medium Grid 1 - Accent 21 Char,Numbered Paragraph Char,List Paragraph111 Char,列出 Char"/>
    <w:basedOn w:val="DefaultParagraphFont"/>
    <w:link w:val="ListParagraph"/>
    <w:uiPriority w:val="34"/>
    <w:qFormat/>
    <w:rsid w:val="00861571"/>
  </w:style>
  <w:style w:type="character" w:customStyle="1" w:styleId="normaltextrun">
    <w:name w:val="normaltextrun"/>
    <w:basedOn w:val="DefaultParagraphFont"/>
    <w:rsid w:val="00861571"/>
  </w:style>
  <w:style w:type="character" w:customStyle="1" w:styleId="eop">
    <w:name w:val="eop"/>
    <w:basedOn w:val="DefaultParagraphFont"/>
    <w:rsid w:val="00861571"/>
  </w:style>
  <w:style w:type="paragraph" w:styleId="Title">
    <w:name w:val="Title"/>
    <w:basedOn w:val="Normal"/>
    <w:next w:val="Normal"/>
    <w:link w:val="TitleChar"/>
    <w:uiPriority w:val="10"/>
    <w:qFormat/>
    <w:rsid w:val="00861571"/>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861571"/>
    <w:rPr>
      <w:rFonts w:asciiTheme="majorHAnsi" w:eastAsiaTheme="majorEastAsia" w:hAnsiTheme="majorHAnsi" w:cstheme="majorBidi"/>
      <w:spacing w:val="-10"/>
      <w:kern w:val="28"/>
      <w:sz w:val="56"/>
      <w:szCs w:val="56"/>
      <w14:ligatures w14:val="none"/>
    </w:rPr>
  </w:style>
  <w:style w:type="character" w:styleId="IntenseEmphasis">
    <w:name w:val="Intense Emphasis"/>
    <w:basedOn w:val="DefaultParagraphFont"/>
    <w:uiPriority w:val="21"/>
    <w:qFormat/>
    <w:rsid w:val="00861571"/>
    <w:rPr>
      <w:i/>
      <w:iCs/>
      <w:color w:val="4472C4" w:themeColor="accent1"/>
    </w:rPr>
  </w:style>
  <w:style w:type="paragraph" w:customStyle="1" w:styleId="H4-Heading4">
    <w:name w:val="H4 - Heading 4"/>
    <w:basedOn w:val="Heading4"/>
    <w:next w:val="Normal"/>
    <w:qFormat/>
    <w:rsid w:val="00861571"/>
    <w:pPr>
      <w:spacing w:before="160" w:after="120"/>
    </w:pPr>
    <w:rPr>
      <w:rFonts w:cstheme="minorHAnsi"/>
      <w:b/>
      <w:bCs/>
      <w:i w:val="0"/>
      <w:caps/>
      <w:color w:val="44546A" w:themeColor="text2"/>
      <w:kern w:val="0"/>
      <w:sz w:val="24"/>
      <w:szCs w:val="24"/>
      <w14:ligatures w14:val="none"/>
    </w:rPr>
  </w:style>
  <w:style w:type="character" w:customStyle="1" w:styleId="Heading4Char">
    <w:name w:val="Heading 4 Char"/>
    <w:basedOn w:val="DefaultParagraphFont"/>
    <w:link w:val="Heading4"/>
    <w:uiPriority w:val="9"/>
    <w:semiHidden/>
    <w:rsid w:val="00861571"/>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FF07DB"/>
    <w:rPr>
      <w:color w:val="2B579A"/>
      <w:shd w:val="clear" w:color="auto" w:fill="E1DFDD"/>
    </w:rPr>
  </w:style>
  <w:style w:type="paragraph" w:customStyle="1" w:styleId="pf0">
    <w:name w:val="pf0"/>
    <w:basedOn w:val="Normal"/>
    <w:rsid w:val="00B318B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D75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9465">
      <w:bodyDiv w:val="1"/>
      <w:marLeft w:val="0"/>
      <w:marRight w:val="0"/>
      <w:marTop w:val="0"/>
      <w:marBottom w:val="0"/>
      <w:divBdr>
        <w:top w:val="none" w:sz="0" w:space="0" w:color="auto"/>
        <w:left w:val="none" w:sz="0" w:space="0" w:color="auto"/>
        <w:bottom w:val="none" w:sz="0" w:space="0" w:color="auto"/>
        <w:right w:val="none" w:sz="0" w:space="0" w:color="auto"/>
      </w:divBdr>
      <w:divsChild>
        <w:div w:id="765351148">
          <w:marLeft w:val="0"/>
          <w:marRight w:val="0"/>
          <w:marTop w:val="0"/>
          <w:marBottom w:val="0"/>
          <w:divBdr>
            <w:top w:val="none" w:sz="0" w:space="0" w:color="auto"/>
            <w:left w:val="none" w:sz="0" w:space="0" w:color="auto"/>
            <w:bottom w:val="none" w:sz="0" w:space="0" w:color="auto"/>
            <w:right w:val="none" w:sz="0" w:space="0" w:color="auto"/>
          </w:divBdr>
        </w:div>
        <w:div w:id="1213733084">
          <w:marLeft w:val="0"/>
          <w:marRight w:val="0"/>
          <w:marTop w:val="0"/>
          <w:marBottom w:val="0"/>
          <w:divBdr>
            <w:top w:val="none" w:sz="0" w:space="0" w:color="auto"/>
            <w:left w:val="none" w:sz="0" w:space="0" w:color="auto"/>
            <w:bottom w:val="none" w:sz="0" w:space="0" w:color="auto"/>
            <w:right w:val="none" w:sz="0" w:space="0" w:color="auto"/>
          </w:divBdr>
        </w:div>
      </w:divsChild>
    </w:div>
    <w:div w:id="264386890">
      <w:bodyDiv w:val="1"/>
      <w:marLeft w:val="0"/>
      <w:marRight w:val="0"/>
      <w:marTop w:val="0"/>
      <w:marBottom w:val="0"/>
      <w:divBdr>
        <w:top w:val="none" w:sz="0" w:space="0" w:color="auto"/>
        <w:left w:val="none" w:sz="0" w:space="0" w:color="auto"/>
        <w:bottom w:val="none" w:sz="0" w:space="0" w:color="auto"/>
        <w:right w:val="none" w:sz="0" w:space="0" w:color="auto"/>
      </w:divBdr>
      <w:divsChild>
        <w:div w:id="199434773">
          <w:marLeft w:val="0"/>
          <w:marRight w:val="0"/>
          <w:marTop w:val="0"/>
          <w:marBottom w:val="0"/>
          <w:divBdr>
            <w:top w:val="none" w:sz="0" w:space="0" w:color="auto"/>
            <w:left w:val="none" w:sz="0" w:space="0" w:color="auto"/>
            <w:bottom w:val="none" w:sz="0" w:space="0" w:color="auto"/>
            <w:right w:val="none" w:sz="0" w:space="0" w:color="auto"/>
          </w:divBdr>
        </w:div>
        <w:div w:id="790712613">
          <w:marLeft w:val="0"/>
          <w:marRight w:val="0"/>
          <w:marTop w:val="0"/>
          <w:marBottom w:val="0"/>
          <w:divBdr>
            <w:top w:val="none" w:sz="0" w:space="0" w:color="auto"/>
            <w:left w:val="none" w:sz="0" w:space="0" w:color="auto"/>
            <w:bottom w:val="none" w:sz="0" w:space="0" w:color="auto"/>
            <w:right w:val="none" w:sz="0" w:space="0" w:color="auto"/>
          </w:divBdr>
        </w:div>
      </w:divsChild>
    </w:div>
    <w:div w:id="910506843">
      <w:bodyDiv w:val="1"/>
      <w:marLeft w:val="0"/>
      <w:marRight w:val="0"/>
      <w:marTop w:val="0"/>
      <w:marBottom w:val="0"/>
      <w:divBdr>
        <w:top w:val="none" w:sz="0" w:space="0" w:color="auto"/>
        <w:left w:val="none" w:sz="0" w:space="0" w:color="auto"/>
        <w:bottom w:val="none" w:sz="0" w:space="0" w:color="auto"/>
        <w:right w:val="none" w:sz="0" w:space="0" w:color="auto"/>
      </w:divBdr>
    </w:div>
    <w:div w:id="1371808506">
      <w:bodyDiv w:val="1"/>
      <w:marLeft w:val="0"/>
      <w:marRight w:val="0"/>
      <w:marTop w:val="0"/>
      <w:marBottom w:val="0"/>
      <w:divBdr>
        <w:top w:val="none" w:sz="0" w:space="0" w:color="auto"/>
        <w:left w:val="none" w:sz="0" w:space="0" w:color="auto"/>
        <w:bottom w:val="none" w:sz="0" w:space="0" w:color="auto"/>
        <w:right w:val="none" w:sz="0" w:space="0" w:color="auto"/>
      </w:divBdr>
    </w:div>
    <w:div w:id="14737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sites/default/files/performance-delivery-framewor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fat.gov.au/publications/development/australias-development-program-tier-2-resul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fat.gov.au/publications/development/australias-development-program-tier-2-result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publications/development/australias-development-program-tier-2-results" TargetMode="External"/><Relationship Id="rId5" Type="http://schemas.openxmlformats.org/officeDocument/2006/relationships/numbering" Target="numbering.xml"/><Relationship Id="rId15" Type="http://schemas.openxmlformats.org/officeDocument/2006/relationships/hyperlink" Target="https://www.dfat.gov.au/publications/development/australias-development-policy-performance-and-delivery-framewor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publications/development/australias-development-program-tier-2-results" TargetMode="External"/></Relationships>
</file>

<file path=word/documenttasks/documenttasks1.xml><?xml version="1.0" encoding="utf-8"?>
<t:Tasks xmlns:t="http://schemas.microsoft.com/office/tasks/2019/documenttasks" xmlns:oel="http://schemas.microsoft.com/office/2019/extlst">
  <t:Task id="{1D4837BE-C7F3-4B3F-976A-ED88DA4F9FDA}">
    <t:Anchor>
      <t:Comment id="133357552"/>
    </t:Anchor>
    <t:History>
      <t:Event id="{4A9E81F0-052B-4845-AA03-89D2A10D239B}" time="2024-12-04T00:25:54.074Z">
        <t:Attribution userId="S::zainab.fazil@dfat.gov.au::51b46abe-f6fa-462d-b013-507b8423920f" userProvider="AD" userName="Zainab Fazil"/>
        <t:Anchor>
          <t:Comment id="721074882"/>
        </t:Anchor>
        <t:Create/>
      </t:Event>
      <t:Event id="{E1514B4B-095E-4CCD-8460-4C6B70ADB5C9}" time="2024-12-04T00:25:54.074Z">
        <t:Attribution userId="S::zainab.fazil@dfat.gov.au::51b46abe-f6fa-462d-b013-507b8423920f" userProvider="AD" userName="Zainab Fazil"/>
        <t:Anchor>
          <t:Comment id="721074882"/>
        </t:Anchor>
        <t:Assign userId="S::keryn.clark@dfat.gov.au::ade7c2c4-00ad-4d39-9de0-7edcfc41e9b0" userProvider="AD" userName="Keryn Clark"/>
      </t:Event>
      <t:Event id="{D2B75926-250F-4013-8BC8-1DB32B963B9A}" time="2024-12-04T00:25:54.074Z">
        <t:Attribution userId="S::zainab.fazil@dfat.gov.au::51b46abe-f6fa-462d-b013-507b8423920f" userProvider="AD" userName="Zainab Fazil"/>
        <t:Anchor>
          <t:Comment id="721074882"/>
        </t:Anchor>
        <t:SetTitle title="@Keryn Clark "/>
      </t:Event>
      <t:Event id="{E73F2F1C-05FA-4F21-984A-58F58305A0EC}" time="2024-12-04T02:29:01.957Z">
        <t:Attribution userId="S::keryn.clark@dfat.gov.au::ade7c2c4-00ad-4d39-9de0-7edcfc41e9b0" userProvider="AD" userName="Keryn Clar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313495331C84E8C222A0942F39D7C" ma:contentTypeVersion="19" ma:contentTypeDescription="Create a new document." ma:contentTypeScope="" ma:versionID="476821f74ec12e88b1aca27180d82402">
  <xsd:schema xmlns:xsd="http://www.w3.org/2001/XMLSchema" xmlns:xs="http://www.w3.org/2001/XMLSchema" xmlns:p="http://schemas.microsoft.com/office/2006/metadata/properties" xmlns:ns2="47e6606d-f12e-403c-b478-8793a1d190cd" xmlns:ns3="2c14b980-3a59-4797-87bc-4e4d5601662e" targetNamespace="http://schemas.microsoft.com/office/2006/metadata/properties" ma:root="true" ma:fieldsID="1bf9d65bbb793b6d2a7c75394ca203b8" ns2:_="" ns3:_="">
    <xsd:import namespace="47e6606d-f12e-403c-b478-8793a1d190cd"/>
    <xsd:import namespace="2c14b980-3a59-4797-87bc-4e4d56016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Category" minOccurs="0"/>
                <xsd:element ref="ns2:MediaServiceOCR" minOccurs="0"/>
                <xsd:element ref="ns2:USEngagementinglobalheal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06d-f12e-403c-b478-8793a1d1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ategory" ma:index="21" nillable="true" ma:displayName="Category" ma:description="Adviser framework, Copy of advice, Budget, Quality &amp; performance, Outbreaks, Powerpoint presentations, Other" ma:format="Dropdown" ma:internalName="Category">
      <xsd:simpleType>
        <xsd:restriction base="dms:Choice">
          <xsd:enumeration value="Adviser framework"/>
          <xsd:enumeration value="Copy of advice"/>
          <xsd:enumeration value="Budget"/>
          <xsd:enumeration value="Quality &amp; performance"/>
          <xsd:enumeration value="Outbreaks"/>
          <xsd:enumeration value="Powerpoint presentations"/>
          <xsd:enumeration value="Other"/>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USEngagementinglobalhealth" ma:index="23" nillable="true" ma:displayName="US Engagement in global health" ma:description="Monitoring and tracking of changes in US' engagement on health issues and requests for Australian support" ma:format="Dropdown" ma:internalName="USEngagementinglobalhealth">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4b980-3a59-4797-87bc-4e4d56016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30fa92-9805-4864-9384-8918fef18567}" ma:internalName="TaxCatchAll" ma:showField="CatchAllData" ma:web="2c14b980-3a59-4797-87bc-4e4d5601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6606d-f12e-403c-b478-8793a1d190cd">
      <Terms xmlns="http://schemas.microsoft.com/office/infopath/2007/PartnerControls"/>
    </lcf76f155ced4ddcb4097134ff3c332f>
    <TaxCatchAll xmlns="2c14b980-3a59-4797-87bc-4e4d5601662e" xsi:nil="true"/>
    <USEngagementinglobalhealth xmlns="47e6606d-f12e-403c-b478-8793a1d190cd" xsi:nil="true"/>
    <Category xmlns="47e6606d-f12e-403c-b478-8793a1d190cd" xsi:nil="true"/>
    <SharedWithUsers xmlns="2c14b980-3a59-4797-87bc-4e4d5601662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FBE8-BFD3-4373-A594-EE3D7046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06d-f12e-403c-b478-8793a1d190cd"/>
    <ds:schemaRef ds:uri="2c14b980-3a59-4797-87bc-4e4d5601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D9298-583D-458D-8655-3BD712806173}">
  <ds:schemaRefs>
    <ds:schemaRef ds:uri="http://schemas.microsoft.com/sharepoint/v3/contenttype/forms"/>
  </ds:schemaRefs>
</ds:datastoreItem>
</file>

<file path=customXml/itemProps3.xml><?xml version="1.0" encoding="utf-8"?>
<ds:datastoreItem xmlns:ds="http://schemas.openxmlformats.org/officeDocument/2006/customXml" ds:itemID="{A647558B-CD00-406F-B13D-78574D141A9A}">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47e6606d-f12e-403c-b478-8793a1d190cd"/>
    <ds:schemaRef ds:uri="2c14b980-3a59-4797-87bc-4e4d5601662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312C589-8737-46B8-86D2-E906086A0B6D}">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3071</Words>
  <Characters>18047</Characters>
  <Application>Microsoft Office Word</Application>
  <DocSecurity>0</DocSecurity>
  <Lines>466</Lines>
  <Paragraphs>198</Paragraphs>
  <ScaleCrop>false</ScaleCrop>
  <Company>Department of Foreign Affairs and Trade</Company>
  <LinksUpToDate>false</LinksUpToDate>
  <CharactersWithSpaces>20971</CharactersWithSpaces>
  <SharedDoc>false</SharedDoc>
  <HLinks>
    <vt:vector size="36" baseType="variant">
      <vt:variant>
        <vt:i4>6750270</vt:i4>
      </vt:variant>
      <vt:variant>
        <vt:i4>15</vt:i4>
      </vt:variant>
      <vt:variant>
        <vt:i4>0</vt:i4>
      </vt:variant>
      <vt:variant>
        <vt:i4>5</vt:i4>
      </vt:variant>
      <vt:variant>
        <vt:lpwstr>https://www.dfat.gov.au/publications/development/australias-development-program-tier-2-results</vt:lpwstr>
      </vt:variant>
      <vt:variant>
        <vt:lpwstr/>
      </vt:variant>
      <vt:variant>
        <vt:i4>4390937</vt:i4>
      </vt:variant>
      <vt:variant>
        <vt:i4>12</vt:i4>
      </vt:variant>
      <vt:variant>
        <vt:i4>0</vt:i4>
      </vt:variant>
      <vt:variant>
        <vt:i4>5</vt:i4>
      </vt:variant>
      <vt:variant>
        <vt:lpwstr>https://www.dfat.gov.au/publications/development/australias-development-policy-performance-and-delivery-framework</vt:lpwstr>
      </vt:variant>
      <vt:variant>
        <vt:lpwstr/>
      </vt:variant>
      <vt:variant>
        <vt:i4>6750270</vt:i4>
      </vt:variant>
      <vt:variant>
        <vt:i4>9</vt:i4>
      </vt:variant>
      <vt:variant>
        <vt:i4>0</vt:i4>
      </vt:variant>
      <vt:variant>
        <vt:i4>5</vt:i4>
      </vt:variant>
      <vt:variant>
        <vt:lpwstr>https://www.dfat.gov.au/publications/development/australias-development-program-tier-2-results</vt:lpwstr>
      </vt:variant>
      <vt:variant>
        <vt:lpwstr/>
      </vt:variant>
      <vt:variant>
        <vt:i4>8126507</vt:i4>
      </vt:variant>
      <vt:variant>
        <vt:i4>6</vt:i4>
      </vt:variant>
      <vt:variant>
        <vt:i4>0</vt:i4>
      </vt:variant>
      <vt:variant>
        <vt:i4>5</vt:i4>
      </vt:variant>
      <vt:variant>
        <vt:lpwstr>https://www.dfat.gov.au/sites/default/files/performance-delivery-framework.pdf</vt:lpwstr>
      </vt:variant>
      <vt:variant>
        <vt:lpwstr/>
      </vt:variant>
      <vt:variant>
        <vt:i4>6750270</vt:i4>
      </vt:variant>
      <vt:variant>
        <vt:i4>3</vt:i4>
      </vt:variant>
      <vt:variant>
        <vt:i4>0</vt:i4>
      </vt:variant>
      <vt:variant>
        <vt:i4>5</vt:i4>
      </vt:variant>
      <vt:variant>
        <vt:lpwstr>https://www.dfat.gov.au/publications/development/australias-development-program-tier-2-results</vt:lpwstr>
      </vt:variant>
      <vt:variant>
        <vt:lpwstr/>
      </vt:variant>
      <vt:variant>
        <vt:i4>6750270</vt:i4>
      </vt:variant>
      <vt:variant>
        <vt:i4>0</vt:i4>
      </vt:variant>
      <vt:variant>
        <vt:i4>0</vt:i4>
      </vt:variant>
      <vt:variant>
        <vt:i4>5</vt:i4>
      </vt:variant>
      <vt:variant>
        <vt:lpwstr>https://www.dfat.gov.au/publications/development/australias-development-program-tier-2-results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Fazil</dc:creator>
  <cp:keywords>[SEC=OFFICIAL]</cp:keywords>
  <dc:description/>
  <cp:lastModifiedBy>Zainab Fazil</cp:lastModifiedBy>
  <cp:revision>3</cp:revision>
  <dcterms:created xsi:type="dcterms:W3CDTF">2025-12-19T01:58:00Z</dcterms:created>
  <dcterms:modified xsi:type="dcterms:W3CDTF">2025-12-19T02:02:00Z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2024-10-18T02:51:07Z</vt:lpwstr>
  </property>
  <property fmtid="{D5CDD505-2E9C-101B-9397-08002B2CF9AE}" pid="10" name="PM_Markers">
    <vt:lpwstr/>
  </property>
  <property fmtid="{D5CDD505-2E9C-101B-9397-08002B2CF9AE}" pid="11" name="PM_InsertionValue">
    <vt:lpwstr>OFFICIAL</vt:lpwstr>
  </property>
  <property fmtid="{D5CDD505-2E9C-101B-9397-08002B2CF9AE}" pid="12" name="PM_DisplayValueSecClassificationWithQualifier">
    <vt:lpwstr>OFFICIAL</vt:lpwstr>
  </property>
  <property fmtid="{D5CDD505-2E9C-101B-9397-08002B2CF9AE}" pid="13" name="PM_Originating_FileId">
    <vt:lpwstr>DC5A4714B5D6422CAF6CCCE24E94DE21</vt:lpwstr>
  </property>
  <property fmtid="{D5CDD505-2E9C-101B-9397-08002B2CF9AE}" pid="14" name="PM_ProtectiveMarkingValue_Footer">
    <vt:lpwstr>OFFICIAL</vt:lpwstr>
  </property>
  <property fmtid="{D5CDD505-2E9C-101B-9397-08002B2CF9AE}" pid="15" name="PM_Display">
    <vt:lpwstr>OFFICIAL</vt:lpwstr>
  </property>
  <property fmtid="{D5CDD505-2E9C-101B-9397-08002B2CF9AE}" pid="16" name="PM_OriginatorDomainName_SHA256">
    <vt:lpwstr>6F3591835F3B2A8A025B00B5BA6418010DA3A17C9C26EA9C049FFD28039489A2</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ContentTypeId">
    <vt:lpwstr>0x01010084A313495331C84E8C222A0942F39D7C</vt:lpwstr>
  </property>
  <property fmtid="{D5CDD505-2E9C-101B-9397-08002B2CF9AE}" pid="22" name="PM_Hash_Salt_Prev">
    <vt:lpwstr>30F787360C99BDD9328103524854B6BD</vt:lpwstr>
  </property>
  <property fmtid="{D5CDD505-2E9C-101B-9397-08002B2CF9AE}" pid="23" name="PMHMAC">
    <vt:lpwstr>v=2022.1;a=SHA256;h=3DA4D88A61DA5397BEEE7B18EB458F0294962A5A62362D4E8309714656978B84</vt:lpwstr>
  </property>
  <property fmtid="{D5CDD505-2E9C-101B-9397-08002B2CF9AE}" pid="24" name="PM_Hash_Salt">
    <vt:lpwstr>7FD63FFB52220535CB970B8836A196E9</vt:lpwstr>
  </property>
  <property fmtid="{D5CDD505-2E9C-101B-9397-08002B2CF9AE}" pid="25" name="PM_Hash_SHA1">
    <vt:lpwstr>1F87D7B249AA6E1691028000017C2018B9334892</vt:lpwstr>
  </property>
  <property fmtid="{D5CDD505-2E9C-101B-9397-08002B2CF9AE}" pid="26" name="PM_Originator_Hash_SHA1">
    <vt:lpwstr>6F76F227CAEBFE77480232BDC72DB5393C54903B</vt:lpwstr>
  </property>
  <property fmtid="{D5CDD505-2E9C-101B-9397-08002B2CF9AE}" pid="27" name="PM_OriginatorUserAccountName_SHA256">
    <vt:lpwstr>06F5A64ACD36CD875F44B106B11E246472FA20BB1A2F3F71938CB6388A0B859D</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Image_Footer">
    <vt:lpwstr>C:\Program Files (x86)\Common Files\janusNET Shared\janusSEAL\Images\DocumentSlashBlue.png</vt:lpwstr>
  </property>
  <property fmtid="{D5CDD505-2E9C-101B-9397-08002B2CF9AE}" pid="30" name="PM_Expires">
    <vt:lpwstr/>
  </property>
  <property fmtid="{D5CDD505-2E9C-101B-9397-08002B2CF9AE}" pid="31" name="PM_DownTo">
    <vt:lpwstr/>
  </property>
  <property fmtid="{D5CDD505-2E9C-101B-9397-08002B2CF9AE}" pid="32" name="docLang">
    <vt:lpwstr>en</vt:lpwstr>
  </property>
  <property fmtid="{D5CDD505-2E9C-101B-9397-08002B2CF9AE}" pid="33" name="MediaServiceImageTags">
    <vt:lpwstr/>
  </property>
  <property fmtid="{D5CDD505-2E9C-101B-9397-08002B2CF9AE}" pid="34" name="Order">
    <vt:r8>206100</vt:r8>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ies>
</file>